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A7" w:rsidRPr="00953A09" w:rsidRDefault="00862EA7" w:rsidP="003302E4">
      <w:pPr>
        <w:rPr>
          <w:rFonts w:ascii="Cambria" w:hAnsi="Cambria" w:cs="Arial"/>
          <w:b/>
          <w:color w:val="1F4E79" w:themeColor="accent1" w:themeShade="80"/>
          <w:sz w:val="40"/>
          <w:szCs w:val="40"/>
        </w:rPr>
      </w:pPr>
      <w:r w:rsidRPr="00953A09">
        <w:rPr>
          <w:rFonts w:ascii="Cambria" w:hAnsi="Cambria" w:cs="Arial"/>
          <w:b/>
          <w:color w:val="1F4E79" w:themeColor="accent1" w:themeShade="80"/>
          <w:sz w:val="40"/>
          <w:szCs w:val="40"/>
        </w:rPr>
        <w:t>SESSION PLAN</w:t>
      </w:r>
    </w:p>
    <w:p w:rsidR="003302E4" w:rsidRPr="00953A09" w:rsidRDefault="00953A09" w:rsidP="003302E4">
      <w:pPr>
        <w:rPr>
          <w:rFonts w:ascii="Cambria" w:hAnsi="Cambria" w:cs="Arial"/>
          <w:b/>
          <w:color w:val="1F4E79" w:themeColor="accent1" w:themeShade="80"/>
          <w:sz w:val="32"/>
          <w:szCs w:val="32"/>
        </w:rPr>
      </w:pPr>
      <w:r w:rsidRPr="00953A09">
        <w:rPr>
          <w:rFonts w:ascii="Cambria" w:hAnsi="Cambria" w:cs="Arial"/>
          <w:b/>
          <w:color w:val="1F4E79" w:themeColor="accent1" w:themeShade="80"/>
          <w:sz w:val="32"/>
          <w:szCs w:val="32"/>
        </w:rPr>
        <w:t>SESSION SIX:  TOO MUCH TOO YOUNG</w:t>
      </w:r>
    </w:p>
    <w:p w:rsidR="003302E4" w:rsidRPr="003302E4" w:rsidRDefault="003302E4" w:rsidP="003302E4">
      <w:pPr>
        <w:rPr>
          <w:rFonts w:ascii="Cambria" w:hAnsi="Cambria" w:cs="Arial"/>
          <w:color w:val="000000" w:themeColor="text1"/>
          <w:sz w:val="28"/>
          <w:szCs w:val="28"/>
        </w:rPr>
      </w:pPr>
      <w:r w:rsidRPr="003302E4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3652"/>
        <w:gridCol w:w="5590"/>
      </w:tblGrid>
      <w:tr w:rsidR="003302E4" w:rsidRPr="003302E4" w:rsidTr="003302E4">
        <w:trPr>
          <w:cnfStyle w:val="100000000000"/>
        </w:trPr>
        <w:tc>
          <w:tcPr>
            <w:cnfStyle w:val="001000000000"/>
            <w:tcW w:w="3652" w:type="dxa"/>
          </w:tcPr>
          <w:p w:rsidR="0033462B" w:rsidRDefault="0033462B" w:rsidP="00783E10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302E4" w:rsidRPr="003302E4" w:rsidRDefault="0033462B" w:rsidP="00783E10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Aim of Session</w:t>
            </w:r>
            <w:r w:rsidR="003302E4"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:rsidR="007F3E2B" w:rsidRDefault="00FB1C8E" w:rsidP="002C0867">
            <w:pPr>
              <w:cnfStyle w:val="100000000000"/>
              <w:rPr>
                <w:rFonts w:ascii="Cambria" w:hAnsi="Cambria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T</w:t>
            </w:r>
            <w:r w:rsidR="003302E4"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o encourage young people to consider the </w:t>
            </w:r>
            <w:r w:rsidR="007F3E2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consequences</w:t>
            </w:r>
            <w:r w:rsidR="003302E4"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of </w:t>
            </w:r>
            <w:r w:rsidR="007F3E2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breaking laws related to </w:t>
            </w:r>
            <w:r w:rsidR="003302E4"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alcohol</w:t>
            </w:r>
            <w:r w:rsidR="007F3E2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,</w:t>
            </w:r>
            <w:r w:rsidR="003302E4"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illicit substance</w:t>
            </w:r>
            <w:r w:rsidR="007F3E2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and sexual activity</w:t>
            </w:r>
            <w:r w:rsidR="003302E4"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3302E4" w:rsidRPr="003302E4" w:rsidTr="003302E4">
        <w:trPr>
          <w:cnfStyle w:val="000000100000"/>
        </w:trPr>
        <w:tc>
          <w:tcPr>
            <w:cnfStyle w:val="001000000000"/>
            <w:tcW w:w="3652" w:type="dxa"/>
          </w:tcPr>
          <w:p w:rsidR="003302E4" w:rsidRPr="003302E4" w:rsidRDefault="003302E4" w:rsidP="00783E10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3302E4" w:rsidRPr="003302E4" w:rsidRDefault="003302E4" w:rsidP="00783E10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3302E4" w:rsidRPr="003302E4" w:rsidTr="003302E4">
        <w:tc>
          <w:tcPr>
            <w:cnfStyle w:val="001000000000"/>
            <w:tcW w:w="3652" w:type="dxa"/>
          </w:tcPr>
          <w:p w:rsidR="003302E4" w:rsidRPr="003302E4" w:rsidRDefault="003302E4" w:rsidP="00783E10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 will need: </w:t>
            </w:r>
          </w:p>
          <w:p w:rsidR="003302E4" w:rsidRPr="003302E4" w:rsidRDefault="003302E4" w:rsidP="00783E10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3302E4" w:rsidRPr="003302E4" w:rsidRDefault="003302E4" w:rsidP="00783E10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3302E4" w:rsidRPr="003302E4" w:rsidRDefault="003302E4" w:rsidP="00783E10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3302E4" w:rsidRPr="003302E4" w:rsidRDefault="003302E4" w:rsidP="00783E10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3302E4" w:rsidRPr="003302E4" w:rsidRDefault="003302E4" w:rsidP="00783E10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Time: 50 minutes</w:t>
            </w:r>
          </w:p>
          <w:p w:rsidR="003302E4" w:rsidRPr="003302E4" w:rsidRDefault="003302E4" w:rsidP="00783E10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3302E4" w:rsidRPr="003302E4" w:rsidRDefault="003302E4" w:rsidP="003302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Flipchart Paper</w:t>
            </w:r>
            <w:r w:rsidR="00862EA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/White board</w:t>
            </w:r>
          </w:p>
          <w:p w:rsidR="003302E4" w:rsidRPr="003302E4" w:rsidRDefault="003302E4" w:rsidP="003302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Pens</w:t>
            </w:r>
          </w:p>
          <w:p w:rsidR="00862EA7" w:rsidRDefault="003302E4" w:rsidP="003302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Worksheet One: </w:t>
            </w:r>
            <w:r w:rsidR="00743412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Facilitator Information </w:t>
            </w:r>
            <w:r w:rsidR="00862EA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-</w:t>
            </w:r>
            <w:r w:rsidR="009E219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</w:t>
            </w: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he Law</w:t>
            </w:r>
            <w:r w:rsidR="009E219E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answers to card match</w:t>
            </w:r>
          </w:p>
          <w:p w:rsidR="008D1CDB" w:rsidRPr="003302E4" w:rsidRDefault="008D1CDB" w:rsidP="003302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2C0867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Worksheet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Two</w:t>
            </w:r>
            <w:r w:rsidRPr="001E508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 Issues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cards</w:t>
            </w:r>
            <w:r w:rsidRPr="001E508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, Legal status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cards </w:t>
            </w:r>
            <w:r w:rsidRPr="001E508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&amp; Other information Cards</w:t>
            </w:r>
            <w:r w:rsidRPr="007F3E2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(print  the sets on different coloured cards)</w:t>
            </w:r>
          </w:p>
          <w:p w:rsidR="007F3E2B" w:rsidRPr="002C0867" w:rsidRDefault="005362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2C086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Worksheet T</w:t>
            </w:r>
            <w:r w:rsidR="008D1CD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hree</w:t>
            </w:r>
            <w:r w:rsidRPr="002C086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 Consequences continuum</w:t>
            </w:r>
          </w:p>
          <w:p w:rsidR="003302E4" w:rsidRPr="003302E4" w:rsidRDefault="003302E4" w:rsidP="009E219E">
            <w:pPr>
              <w:pStyle w:val="ListParagraph"/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3302E4" w:rsidRPr="003302E4" w:rsidTr="002C0867">
        <w:trPr>
          <w:cnfStyle w:val="000000100000"/>
          <w:trHeight w:val="196"/>
        </w:trPr>
        <w:tc>
          <w:tcPr>
            <w:cnfStyle w:val="001000000000"/>
            <w:tcW w:w="3652" w:type="dxa"/>
          </w:tcPr>
          <w:p w:rsidR="003302E4" w:rsidRPr="003302E4" w:rsidRDefault="003302E4" w:rsidP="00783E10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3302E4" w:rsidRPr="003302E4" w:rsidRDefault="003302E4" w:rsidP="00783E10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3302E4" w:rsidRPr="003302E4" w:rsidTr="002C0867">
        <w:trPr>
          <w:trHeight w:val="1263"/>
        </w:trPr>
        <w:tc>
          <w:tcPr>
            <w:cnfStyle w:val="001000000000"/>
            <w:tcW w:w="3652" w:type="dxa"/>
          </w:tcPr>
          <w:p w:rsidR="003302E4" w:rsidRPr="003302E4" w:rsidRDefault="00783E10" w:rsidP="00783E10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Introduction Activity</w:t>
            </w:r>
          </w:p>
        </w:tc>
        <w:tc>
          <w:tcPr>
            <w:tcW w:w="5590" w:type="dxa"/>
          </w:tcPr>
          <w:p w:rsidR="00D1298B" w:rsidRDefault="008D1CDB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Divide young people into small groups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and d</w:t>
            </w:r>
            <w:r w:rsidR="00111B17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istribute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 </w:t>
            </w:r>
            <w:r w:rsidR="00111B17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set of </w:t>
            </w:r>
            <w:r w:rsidR="0096748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'worksheet 2 cards' </w:t>
            </w:r>
            <w:r w:rsidR="00111B17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to each group. </w:t>
            </w:r>
          </w:p>
          <w:p w:rsidR="00D1298B" w:rsidRDefault="00D1298B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D1298B" w:rsidRDefault="00111B17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Ask them to </w:t>
            </w:r>
            <w:r w:rsidR="007F3E2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match the </w:t>
            </w:r>
            <w:r w:rsidR="0096748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</w:t>
            </w:r>
            <w:r w:rsidR="007F3E2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issue cards</w:t>
            </w:r>
            <w:r w:rsidR="0096748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</w:t>
            </w:r>
            <w:r w:rsidR="007F3E2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with the correct </w:t>
            </w:r>
            <w:r w:rsidR="0096748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'L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egal status </w:t>
            </w:r>
            <w:r w:rsidR="008D1CD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cards</w:t>
            </w:r>
            <w:r w:rsidR="0096748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</w:t>
            </w:r>
            <w:r w:rsidR="008D1CD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and</w:t>
            </w:r>
            <w:r w:rsidR="008D1CD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with the </w:t>
            </w:r>
            <w:r w:rsidR="0096748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</w:t>
            </w:r>
            <w:r w:rsidR="006705B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</w:t>
            </w:r>
            <w:r w:rsidR="001E508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ther i</w:t>
            </w:r>
            <w:r w:rsidR="007F3E2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nformation cards</w:t>
            </w:r>
            <w:r w:rsidR="0096748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</w:t>
            </w:r>
            <w:r w:rsidR="006705B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8D1CD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(2 answers for each issue)</w:t>
            </w:r>
            <w:r w:rsidR="006705B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  <w:r w:rsidR="008D1CDB">
              <w:rPr>
                <w:rFonts w:ascii="Cambria" w:hAnsi="Cambria" w:cs="Arial"/>
                <w:color w:val="000000" w:themeColor="text1"/>
                <w:sz w:val="24"/>
                <w:szCs w:val="24"/>
              </w:rPr>
              <w:br/>
            </w:r>
          </w:p>
          <w:p w:rsidR="00111B17" w:rsidRDefault="00111B17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Go through</w:t>
            </w:r>
            <w:r w:rsidR="008D1CD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the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correct answers. </w:t>
            </w:r>
          </w:p>
          <w:p w:rsidR="00D1298B" w:rsidRDefault="00D1298B" w:rsidP="002C086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7F3E2B" w:rsidRDefault="00111B17" w:rsidP="002C0867">
            <w:pPr>
              <w:cnfStyle w:val="000000000000"/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Take feedback. </w:t>
            </w:r>
          </w:p>
        </w:tc>
      </w:tr>
      <w:tr w:rsidR="003302E4" w:rsidRPr="003302E4" w:rsidTr="002C0867">
        <w:trPr>
          <w:cnfStyle w:val="000000100000"/>
          <w:trHeight w:val="274"/>
        </w:trPr>
        <w:tc>
          <w:tcPr>
            <w:cnfStyle w:val="001000000000"/>
            <w:tcW w:w="3652" w:type="dxa"/>
          </w:tcPr>
          <w:p w:rsidR="007F3E2B" w:rsidRDefault="007F3E2B" w:rsidP="002C0867">
            <w:pPr>
              <w:rPr>
                <w:rFonts w:ascii="Cambria" w:hAnsi="Cambria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7F3E2B" w:rsidRDefault="007F3E2B" w:rsidP="002C0867">
            <w:pPr>
              <w:ind w:left="360"/>
              <w:cnfStyle w:val="000000100000"/>
            </w:pPr>
          </w:p>
        </w:tc>
      </w:tr>
      <w:tr w:rsidR="003302E4" w:rsidRPr="003302E4" w:rsidTr="003302E4">
        <w:tc>
          <w:tcPr>
            <w:cnfStyle w:val="001000000000"/>
            <w:tcW w:w="3652" w:type="dxa"/>
          </w:tcPr>
          <w:p w:rsidR="00783E10" w:rsidRPr="003302E4" w:rsidRDefault="00783E10" w:rsidP="00783E10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Main Activity:</w:t>
            </w:r>
          </w:p>
          <w:p w:rsidR="003302E4" w:rsidRPr="003302E4" w:rsidRDefault="007F3E2B" w:rsidP="00783E10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  <w:r w:rsidRPr="002C0867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Picture 1" descr="filmree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mree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3E10"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 </w:t>
            </w:r>
          </w:p>
        </w:tc>
        <w:tc>
          <w:tcPr>
            <w:tcW w:w="5590" w:type="dxa"/>
          </w:tcPr>
          <w:p w:rsidR="00D1298B" w:rsidRDefault="008D1CDB" w:rsidP="002B7D3C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G</w:t>
            </w:r>
            <w:r w:rsidR="002B7D3C"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ive each group a set of print out cards</w:t>
            </w:r>
            <w:r w:rsidR="002B7D3C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from</w:t>
            </w:r>
            <w:r w:rsidR="006705B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2B7D3C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Worksheet T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hree</w:t>
            </w:r>
            <w:r w:rsidR="002B7D3C"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. </w:t>
            </w:r>
          </w:p>
          <w:p w:rsidR="00D1298B" w:rsidRDefault="00D1298B" w:rsidP="002B7D3C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B7D3C" w:rsidRPr="003302E4" w:rsidRDefault="002B7D3C" w:rsidP="002B7D3C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Get them to use the two heading cards as either end of a continuum.</w:t>
            </w:r>
          </w:p>
          <w:p w:rsidR="002B7D3C" w:rsidRDefault="002B7D3C" w:rsidP="002B7D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Serious consequences for </w:t>
            </w:r>
            <w:r w:rsidR="00743412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my</w:t>
            </w:r>
            <w:r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future…</w:t>
            </w:r>
            <w:r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br/>
            </w:r>
            <w:r w:rsidRPr="00A01277">
              <w:rPr>
                <w:rFonts w:ascii="Cambria" w:hAnsi="Cambria" w:cs="Arial"/>
                <w:b/>
                <w:i/>
                <w:color w:val="000000" w:themeColor="text1"/>
                <w:sz w:val="24"/>
                <w:szCs w:val="24"/>
              </w:rPr>
              <w:t xml:space="preserve">(if </w:t>
            </w:r>
            <w:r w:rsidR="00743412">
              <w:rPr>
                <w:rFonts w:ascii="Cambria" w:hAnsi="Cambria" w:cs="Arial"/>
                <w:b/>
                <w:i/>
                <w:color w:val="000000" w:themeColor="text1"/>
                <w:sz w:val="24"/>
                <w:szCs w:val="24"/>
              </w:rPr>
              <w:t>I</w:t>
            </w:r>
            <w:r w:rsidRPr="00A01277">
              <w:rPr>
                <w:rFonts w:ascii="Cambria" w:hAnsi="Cambria" w:cs="Arial"/>
                <w:b/>
                <w:i/>
                <w:color w:val="000000" w:themeColor="text1"/>
                <w:sz w:val="24"/>
                <w:szCs w:val="24"/>
              </w:rPr>
              <w:t xml:space="preserve"> get into trouble with the law)</w:t>
            </w:r>
          </w:p>
          <w:p w:rsidR="002B7D3C" w:rsidRPr="00A01277" w:rsidRDefault="002B7D3C" w:rsidP="002B7D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000000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Not so serious consequences for </w:t>
            </w:r>
            <w:r w:rsidR="00743412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my</w:t>
            </w:r>
            <w:r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future…</w:t>
            </w:r>
            <w:r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br/>
            </w:r>
            <w:r w:rsidRPr="00A01277">
              <w:rPr>
                <w:rFonts w:ascii="Cambria" w:hAnsi="Cambria" w:cs="Arial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(if </w:t>
            </w:r>
            <w:r w:rsidR="00743412">
              <w:rPr>
                <w:rFonts w:ascii="Cambria" w:hAnsi="Cambria" w:cs="Arial"/>
                <w:b/>
                <w:i/>
                <w:color w:val="000000" w:themeColor="text1"/>
                <w:sz w:val="24"/>
                <w:szCs w:val="24"/>
              </w:rPr>
              <w:t>I</w:t>
            </w:r>
            <w:r w:rsidRPr="00A01277">
              <w:rPr>
                <w:rFonts w:ascii="Cambria" w:hAnsi="Cambria" w:cs="Arial"/>
                <w:b/>
                <w:i/>
                <w:color w:val="000000" w:themeColor="text1"/>
                <w:sz w:val="24"/>
                <w:szCs w:val="24"/>
              </w:rPr>
              <w:t xml:space="preserve"> get into trouble with the law)</w:t>
            </w:r>
            <w:r w:rsidRPr="003302E4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br/>
            </w:r>
          </w:p>
          <w:p w:rsidR="00D1298B" w:rsidRDefault="002B7D3C" w:rsidP="002B7D3C">
            <w:pPr>
              <w:pStyle w:val="ListParagraph"/>
              <w:ind w:left="0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Ask the young people to place each statement on the continuum as to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where they feel they best fit. </w:t>
            </w:r>
          </w:p>
          <w:p w:rsidR="00D1298B" w:rsidRDefault="00D1298B" w:rsidP="002B7D3C">
            <w:pPr>
              <w:pStyle w:val="ListParagraph"/>
              <w:ind w:left="0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B7D3C" w:rsidRDefault="002B7D3C" w:rsidP="002B7D3C">
            <w:pPr>
              <w:pStyle w:val="ListParagraph"/>
              <w:ind w:left="0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Get the group to come up with 2 of their own consequences to fill in the blank boxes and add these to the continuum</w:t>
            </w:r>
            <w:r w:rsidR="00D1298B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D1298B" w:rsidRDefault="00D1298B" w:rsidP="002B7D3C">
            <w:pPr>
              <w:pStyle w:val="ListParagraph"/>
              <w:ind w:left="0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2B7D3C" w:rsidRPr="003302E4" w:rsidRDefault="002B7D3C" w:rsidP="002B7D3C">
            <w:pPr>
              <w:pStyle w:val="ListParagraph"/>
              <w:ind w:left="0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Discuss the implicatio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ns and ask the group whether they had thought of </w:t>
            </w: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any of these implications.</w:t>
            </w:r>
          </w:p>
          <w:p w:rsidR="007F3E2B" w:rsidRDefault="007F3E2B" w:rsidP="002C086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bookmarkStart w:id="0" w:name="_GoBack"/>
        <w:bookmarkEnd w:id="0"/>
      </w:tr>
      <w:tr w:rsidR="003302E4" w:rsidRPr="003302E4" w:rsidTr="003302E4">
        <w:trPr>
          <w:cnfStyle w:val="000000100000"/>
        </w:trPr>
        <w:tc>
          <w:tcPr>
            <w:cnfStyle w:val="001000000000"/>
            <w:tcW w:w="3652" w:type="dxa"/>
          </w:tcPr>
          <w:p w:rsidR="003302E4" w:rsidRPr="003302E4" w:rsidRDefault="003302E4" w:rsidP="00783E10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3302E4" w:rsidRPr="003302E4" w:rsidRDefault="003302E4" w:rsidP="00783E10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743412" w:rsidRPr="003302E4" w:rsidTr="003302E4">
        <w:tc>
          <w:tcPr>
            <w:cnfStyle w:val="001000000000"/>
            <w:tcW w:w="3652" w:type="dxa"/>
          </w:tcPr>
          <w:p w:rsidR="00743412" w:rsidRPr="003302E4" w:rsidRDefault="00743412" w:rsidP="00111B17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Plenary</w:t>
            </w:r>
          </w:p>
          <w:p w:rsidR="00743412" w:rsidRPr="003302E4" w:rsidRDefault="007F3E2B" w:rsidP="00111B17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2C0867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542925" cy="523875"/>
                  <wp:effectExtent l="19050" t="0" r="9525" b="0"/>
                  <wp:docPr id="2" name="Picture 3" descr="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o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3412" w:rsidRPr="003302E4" w:rsidRDefault="00743412" w:rsidP="00783E10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             (5 minutes) </w:t>
            </w:r>
          </w:p>
        </w:tc>
        <w:tc>
          <w:tcPr>
            <w:tcW w:w="5590" w:type="dxa"/>
          </w:tcPr>
          <w:p w:rsidR="00111B17" w:rsidRDefault="00111B17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Statistic: According to the World Health Organisation internationally the average age at which drinking alcohol first occurs is 12 years and about  80% of young people begin drinking alcoholic beverages regularly at age 15 years or younger</w:t>
            </w:r>
            <w:r w:rsidR="00777A7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6705BB" w:rsidRDefault="006705BB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C53DB5" w:rsidRDefault="00111B17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967484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Hands up activity: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777A7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What should the legal age for purchasing alcohol be? </w:t>
            </w:r>
          </w:p>
          <w:p w:rsidR="007F3E2B" w:rsidRPr="002C0867" w:rsidRDefault="00536253" w:rsidP="002C08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2C086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It should be 18</w:t>
            </w:r>
          </w:p>
          <w:p w:rsidR="007F3E2B" w:rsidRPr="002C0867" w:rsidRDefault="00536253" w:rsidP="002C08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2C0867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lower than 18 or </w:t>
            </w:r>
          </w:p>
          <w:p w:rsidR="007F3E2B" w:rsidRPr="002C0867" w:rsidRDefault="00536253" w:rsidP="002C08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2C086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higher than 18</w:t>
            </w:r>
          </w:p>
          <w:p w:rsidR="00743412" w:rsidRDefault="00743412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111B17" w:rsidRDefault="00777A74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967484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Statistic: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According to the Lancashire Young People's Alcohol and Tobacco Survey 2013 of the 31% of young people who admitted to having had sex, 25% of them regretted having sex after drinking alcohol. This is an increase of 10% since 2011.</w:t>
            </w:r>
          </w:p>
          <w:p w:rsidR="006705BB" w:rsidRDefault="006705BB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6705BB" w:rsidRDefault="00777A74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967484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Hands up activity: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Given that this survey was completed by 14-17year olds should </w:t>
            </w:r>
            <w:r w:rsidR="00C53DB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the law be changed so that you are deemed </w:t>
            </w:r>
            <w:r w:rsidR="00862EA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</w:t>
            </w:r>
            <w:r w:rsidR="00C53DB5">
              <w:rPr>
                <w:rFonts w:ascii="Cambria" w:hAnsi="Cambria" w:cs="Arial"/>
                <w:color w:val="000000" w:themeColor="text1"/>
                <w:sz w:val="24"/>
                <w:szCs w:val="24"/>
              </w:rPr>
              <w:t>not competent to consent</w:t>
            </w:r>
            <w:r w:rsidR="00862EA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</w:t>
            </w:r>
            <w:r w:rsidR="00C53DB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to sex under the influence of</w:t>
            </w:r>
            <w:r w:rsidR="00862EA7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too much</w:t>
            </w:r>
            <w:r w:rsidR="00C53DB5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alcohol? </w:t>
            </w:r>
          </w:p>
          <w:p w:rsidR="006705BB" w:rsidRDefault="006705BB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777A74" w:rsidRDefault="00C53DB5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lastRenderedPageBreak/>
              <w:t>If so</w:t>
            </w:r>
            <w:r w:rsidR="00862EA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how much </w:t>
            </w:r>
            <w:r w:rsidR="00862EA7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is too much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alcohol?</w:t>
            </w:r>
          </w:p>
          <w:p w:rsidR="007F3E2B" w:rsidRDefault="00C3593E" w:rsidP="002C08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Any amount of alcohol</w:t>
            </w:r>
          </w:p>
          <w:p w:rsidR="007F3E2B" w:rsidRDefault="00C3593E" w:rsidP="002C08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2-3 units of alcohol</w:t>
            </w:r>
          </w:p>
          <w:p w:rsidR="007F3E2B" w:rsidRPr="002C0867" w:rsidRDefault="00C3593E" w:rsidP="002C08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5 or more units of alcohol</w:t>
            </w:r>
          </w:p>
          <w:p w:rsidR="00C53DB5" w:rsidRPr="003302E4" w:rsidRDefault="00C53DB5" w:rsidP="00111B17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743412" w:rsidRPr="003302E4" w:rsidDel="008D35A3" w:rsidRDefault="00743412" w:rsidP="00783E10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3302E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Refer for further information on alcohol and drugs to FRANK website </w:t>
            </w:r>
            <w:hyperlink r:id="rId10" w:history="1">
              <w:r w:rsidRPr="00EF38D1">
                <w:rPr>
                  <w:rStyle w:val="Hyperlink"/>
                  <w:rFonts w:ascii="Cambria" w:hAnsi="Cambria" w:cs="Arial"/>
                  <w:sz w:val="24"/>
                  <w:szCs w:val="24"/>
                </w:rPr>
                <w:t>www.talktofrank.com</w:t>
              </w:r>
            </w:hyperlink>
          </w:p>
        </w:tc>
      </w:tr>
      <w:tr w:rsidR="00743412" w:rsidRPr="003302E4" w:rsidTr="003302E4">
        <w:trPr>
          <w:cnfStyle w:val="000000100000"/>
        </w:trPr>
        <w:tc>
          <w:tcPr>
            <w:cnfStyle w:val="001000000000"/>
            <w:tcW w:w="3652" w:type="dxa"/>
          </w:tcPr>
          <w:p w:rsidR="00743412" w:rsidRDefault="00743412" w:rsidP="00783E10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743412" w:rsidRDefault="00743412" w:rsidP="00783E10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743412" w:rsidRPr="003302E4" w:rsidTr="003302E4">
        <w:tc>
          <w:tcPr>
            <w:cnfStyle w:val="001000000000"/>
            <w:tcW w:w="3652" w:type="dxa"/>
          </w:tcPr>
          <w:p w:rsidR="00743412" w:rsidRDefault="00743412" w:rsidP="00783E10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Extension Activity</w:t>
            </w:r>
          </w:p>
        </w:tc>
        <w:tc>
          <w:tcPr>
            <w:tcW w:w="5590" w:type="dxa"/>
          </w:tcPr>
          <w:p w:rsidR="00862EA7" w:rsidRDefault="00862EA7" w:rsidP="00783E10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Find out:</w:t>
            </w:r>
          </w:p>
          <w:p w:rsidR="007F3E2B" w:rsidRDefault="00536253" w:rsidP="002C08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2C086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What the minimum legal drinking ages are around the world or popular holiday destinations and what are the consequences for drinking underage in these places.</w:t>
            </w:r>
          </w:p>
          <w:p w:rsidR="007F3E2B" w:rsidRPr="002C0867" w:rsidRDefault="00862EA7" w:rsidP="002C08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What the age of consent for sexual activity is </w:t>
            </w:r>
            <w:r w:rsidRPr="00862EA7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around the world or popular holiday destinations and what are the consequences for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engaging in sexual activity under age</w:t>
            </w:r>
            <w:r w:rsidR="006705B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? </w:t>
            </w:r>
            <w:r w:rsidR="00C3593E">
              <w:rPr>
                <w:rFonts w:ascii="Cambria" w:hAnsi="Cambria" w:cs="Arial"/>
                <w:color w:val="000000" w:themeColor="text1"/>
                <w:sz w:val="24"/>
                <w:szCs w:val="24"/>
              </w:rPr>
              <w:t>(for same sex partners and different sex partners)</w:t>
            </w:r>
          </w:p>
          <w:p w:rsidR="00862EA7" w:rsidRDefault="00862EA7" w:rsidP="00783E10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3302E4" w:rsidRDefault="003302E4" w:rsidP="003302E4"/>
    <w:p w:rsidR="00517249" w:rsidRPr="0053531C" w:rsidRDefault="00517249" w:rsidP="0053531C">
      <w:pPr>
        <w:rPr>
          <w:szCs w:val="24"/>
        </w:rPr>
      </w:pPr>
    </w:p>
    <w:sectPr w:rsidR="00517249" w:rsidRPr="0053531C" w:rsidSect="005172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E2B" w:rsidRDefault="007F3E2B" w:rsidP="00F70FC2">
      <w:pPr>
        <w:spacing w:after="0" w:line="240" w:lineRule="auto"/>
      </w:pPr>
      <w:r>
        <w:separator/>
      </w:r>
    </w:p>
  </w:endnote>
  <w:endnote w:type="continuationSeparator" w:id="0">
    <w:p w:rsidR="007F3E2B" w:rsidRDefault="007F3E2B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29" w:rsidRDefault="001107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2B" w:rsidRDefault="007F3E2B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29" w:rsidRDefault="001107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E2B" w:rsidRDefault="007F3E2B" w:rsidP="00F70FC2">
      <w:pPr>
        <w:spacing w:after="0" w:line="240" w:lineRule="auto"/>
      </w:pPr>
      <w:r>
        <w:separator/>
      </w:r>
    </w:p>
  </w:footnote>
  <w:footnote w:type="continuationSeparator" w:id="0">
    <w:p w:rsidR="007F3E2B" w:rsidRDefault="007F3E2B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29" w:rsidRDefault="001107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E2B" w:rsidRDefault="00AF33C3">
    <w:pPr>
      <w:pStyle w:val="Header"/>
    </w:pPr>
    <w:sdt>
      <w:sdtPr>
        <w:id w:val="6437626"/>
        <w:docPartObj>
          <w:docPartGallery w:val="Page Numbers (Margins)"/>
          <w:docPartUnique/>
        </w:docPartObj>
      </w:sdtPr>
      <w:sdtContent>
        <w:r w:rsidRPr="00AF33C3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110729" w:rsidRDefault="00110729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967484" w:rsidRPr="00967484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7F3E2B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729" w:rsidRDefault="0011072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3641"/>
    <w:multiLevelType w:val="hybridMultilevel"/>
    <w:tmpl w:val="12EA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04B42"/>
    <w:multiLevelType w:val="hybridMultilevel"/>
    <w:tmpl w:val="6E9A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92F5F"/>
    <w:multiLevelType w:val="hybridMultilevel"/>
    <w:tmpl w:val="FF842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410A2C"/>
    <w:multiLevelType w:val="hybridMultilevel"/>
    <w:tmpl w:val="0ED8F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revisionView w:markup="0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70526"/>
    <w:rsid w:val="000A4970"/>
    <w:rsid w:val="00110729"/>
    <w:rsid w:val="00111B17"/>
    <w:rsid w:val="00181BBF"/>
    <w:rsid w:val="001A3077"/>
    <w:rsid w:val="001E5084"/>
    <w:rsid w:val="00217176"/>
    <w:rsid w:val="002B147A"/>
    <w:rsid w:val="002B7D3C"/>
    <w:rsid w:val="002C0867"/>
    <w:rsid w:val="002C47A6"/>
    <w:rsid w:val="003302E4"/>
    <w:rsid w:val="0033462B"/>
    <w:rsid w:val="00371A3C"/>
    <w:rsid w:val="004409AB"/>
    <w:rsid w:val="00443ECE"/>
    <w:rsid w:val="004707AD"/>
    <w:rsid w:val="0049764B"/>
    <w:rsid w:val="004A7DE5"/>
    <w:rsid w:val="00517249"/>
    <w:rsid w:val="0053531C"/>
    <w:rsid w:val="00536253"/>
    <w:rsid w:val="005F44F1"/>
    <w:rsid w:val="006705BB"/>
    <w:rsid w:val="006D57DD"/>
    <w:rsid w:val="007235C3"/>
    <w:rsid w:val="00743412"/>
    <w:rsid w:val="00777A74"/>
    <w:rsid w:val="00783E10"/>
    <w:rsid w:val="00791AEF"/>
    <w:rsid w:val="007C1139"/>
    <w:rsid w:val="007F3E2B"/>
    <w:rsid w:val="00862EA7"/>
    <w:rsid w:val="008A0F88"/>
    <w:rsid w:val="008D1CDB"/>
    <w:rsid w:val="008D35A3"/>
    <w:rsid w:val="008E6072"/>
    <w:rsid w:val="00942768"/>
    <w:rsid w:val="00953A09"/>
    <w:rsid w:val="00961D17"/>
    <w:rsid w:val="00967484"/>
    <w:rsid w:val="009E219E"/>
    <w:rsid w:val="00A01277"/>
    <w:rsid w:val="00AC1B08"/>
    <w:rsid w:val="00AF33C3"/>
    <w:rsid w:val="00B52D0C"/>
    <w:rsid w:val="00BF650A"/>
    <w:rsid w:val="00C3593E"/>
    <w:rsid w:val="00C53DB5"/>
    <w:rsid w:val="00D074F3"/>
    <w:rsid w:val="00D1298B"/>
    <w:rsid w:val="00D84E89"/>
    <w:rsid w:val="00DD7E66"/>
    <w:rsid w:val="00DE7087"/>
    <w:rsid w:val="00EB4390"/>
    <w:rsid w:val="00EE146D"/>
    <w:rsid w:val="00F3748B"/>
    <w:rsid w:val="00F70FC2"/>
    <w:rsid w:val="00FB1C8E"/>
    <w:rsid w:val="00FB63EB"/>
    <w:rsid w:val="00FD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35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alktofrank.com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09EF-B981-4748-AB84-8908B715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Ricky Wilson</dc:creator>
  <cp:lastModifiedBy>rwilson001</cp:lastModifiedBy>
  <cp:revision>18</cp:revision>
  <cp:lastPrinted>2013-11-12T14:12:00Z</cp:lastPrinted>
  <dcterms:created xsi:type="dcterms:W3CDTF">2013-10-02T14:18:00Z</dcterms:created>
  <dcterms:modified xsi:type="dcterms:W3CDTF">2013-11-12T15:30:00Z</dcterms:modified>
</cp:coreProperties>
</file>