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1C" w:rsidRDefault="00B716FF">
      <w:pPr>
        <w:rPr>
          <w:b/>
          <w:color w:val="000000" w:themeColor="text1"/>
          <w:sz w:val="28"/>
          <w:szCs w:val="28"/>
        </w:rPr>
        <w:sectPr w:rsidR="00C9191C" w:rsidSect="00C9191C">
          <w:headerReference w:type="default" r:id="rId8"/>
          <w:footerReference w:type="default" r:id="rId9"/>
          <w:pgSz w:w="16838" w:h="11906" w:orient="landscape"/>
          <w:pgMar w:top="1440" w:right="1440" w:bottom="1440" w:left="1440" w:header="708" w:footer="708" w:gutter="0"/>
          <w:cols w:space="708"/>
          <w:titlePg/>
          <w:docGrid w:linePitch="360"/>
        </w:sectPr>
      </w:pPr>
      <w:r>
        <w:rPr>
          <w:noProof/>
          <w:color w:val="000000" w:themeColor="text1"/>
          <w:lang w:eastAsia="en-GB"/>
        </w:rPr>
        <mc:AlternateContent>
          <mc:Choice Requires="wps">
            <w:drawing>
              <wp:anchor distT="0" distB="0" distL="114300" distR="114300" simplePos="0" relativeHeight="251658239" behindDoc="0" locked="0" layoutInCell="1" allowOverlap="1">
                <wp:simplePos x="0" y="0"/>
                <wp:positionH relativeFrom="column">
                  <wp:posOffset>431800</wp:posOffset>
                </wp:positionH>
                <wp:positionV relativeFrom="paragraph">
                  <wp:posOffset>4756150</wp:posOffset>
                </wp:positionV>
                <wp:extent cx="3854450" cy="3251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765" w:rsidRPr="00FB0271" w:rsidRDefault="00FA1765" w:rsidP="00FB0271">
                            <w:pPr>
                              <w:spacing w:after="0" w:line="240" w:lineRule="auto"/>
                              <w:rPr>
                                <w:b/>
                                <w:sz w:val="32"/>
                                <w:szCs w:val="32"/>
                              </w:rPr>
                            </w:pPr>
                            <w:r>
                              <w:rPr>
                                <w:b/>
                                <w:sz w:val="32"/>
                                <w:szCs w:val="32"/>
                              </w:rPr>
                              <w:t xml:space="preserve">October </w:t>
                            </w:r>
                            <w:r w:rsidRPr="00FB0271">
                              <w:rPr>
                                <w:b/>
                                <w:sz w:val="32"/>
                                <w:szCs w:val="32"/>
                              </w:rPr>
                              <w:t>201</w:t>
                            </w:r>
                            <w:r>
                              <w:rPr>
                                <w:b/>
                                <w:sz w:val="32"/>
                                <w:szCs w:val="32"/>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pt;margin-top:374.5pt;width:303.5pt;height:25.6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" stroked="f">
                <v:textbox style="mso-fit-shape-to-text:t">
                  <w:txbxContent>
                    <w:p w:rsidR="00FA1765" w:rsidRPr="00FB0271" w:rsidRDefault="00FA1765" w:rsidP="00FB0271">
                      <w:pPr>
                        <w:spacing w:after="0" w:line="240" w:lineRule="auto"/>
                        <w:rPr>
                          <w:b/>
                          <w:sz w:val="32"/>
                          <w:szCs w:val="32"/>
                        </w:rPr>
                      </w:pPr>
                      <w:r>
                        <w:rPr>
                          <w:b/>
                          <w:sz w:val="32"/>
                          <w:szCs w:val="32"/>
                        </w:rPr>
                        <w:t xml:space="preserve">October </w:t>
                      </w:r>
                      <w:r w:rsidRPr="00FB0271">
                        <w:rPr>
                          <w:b/>
                          <w:sz w:val="32"/>
                          <w:szCs w:val="32"/>
                        </w:rPr>
                        <w:t>201</w:t>
                      </w:r>
                      <w:r>
                        <w:rPr>
                          <w:b/>
                          <w:sz w:val="32"/>
                          <w:szCs w:val="32"/>
                        </w:rPr>
                        <w:t>8</w:t>
                      </w:r>
                    </w:p>
                  </w:txbxContent>
                </v:textbox>
              </v:shape>
            </w:pict>
          </mc:Fallback>
        </mc:AlternateContent>
      </w:r>
      <w:r w:rsidR="00C9191C" w:rsidRPr="00C9191C">
        <w:rPr>
          <w:b/>
          <w:noProof/>
          <w:color w:val="000000" w:themeColor="text1"/>
          <w:sz w:val="28"/>
          <w:szCs w:val="28"/>
          <w:lang w:eastAsia="en-GB"/>
        </w:rPr>
        <w:drawing>
          <wp:inline distT="0" distB="0" distL="0" distR="0">
            <wp:extent cx="8972550" cy="5800725"/>
            <wp:effectExtent l="19050" t="19050" r="19050" b="28575"/>
            <wp:docPr id="2" name="Picture 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8972550" cy="5800725"/>
                    </a:xfrm>
                    <a:prstGeom prst="rect">
                      <a:avLst/>
                    </a:prstGeom>
                    <a:noFill/>
                    <a:ln w="9525">
                      <a:solidFill>
                        <a:schemeClr val="accent1"/>
                      </a:solidFill>
                      <a:miter lim="800000"/>
                      <a:headEnd/>
                      <a:tailEnd/>
                    </a:ln>
                  </pic:spPr>
                </pic:pic>
              </a:graphicData>
            </a:graphic>
          </wp:inline>
        </w:drawing>
      </w:r>
    </w:p>
    <w:p w:rsidR="00C9191C" w:rsidRDefault="00BC3954" w:rsidP="00755A17">
      <w:pPr>
        <w:spacing w:before="80" w:afterLines="80" w:after="192"/>
        <w:rPr>
          <w:b/>
          <w:color w:val="000000" w:themeColor="text1"/>
          <w:szCs w:val="24"/>
        </w:rPr>
      </w:pPr>
      <w:r w:rsidRPr="00BC3954">
        <w:rPr>
          <w:b/>
          <w:color w:val="000000" w:themeColor="text1"/>
          <w:szCs w:val="24"/>
        </w:rPr>
        <w:t>Contents</w:t>
      </w:r>
    </w:p>
    <w:tbl>
      <w:tblPr>
        <w:tblStyle w:val="TableGrid"/>
        <w:tblW w:w="0" w:type="auto"/>
        <w:tblLook w:val="04A0" w:firstRow="1" w:lastRow="0" w:firstColumn="1" w:lastColumn="0" w:noHBand="0" w:noVBand="1"/>
      </w:tblPr>
      <w:tblGrid>
        <w:gridCol w:w="1701"/>
        <w:gridCol w:w="9638"/>
        <w:gridCol w:w="1701"/>
      </w:tblGrid>
      <w:tr w:rsidR="001F1E12" w:rsidTr="005E12E0">
        <w:trPr>
          <w:trHeight w:val="113"/>
        </w:trPr>
        <w:tc>
          <w:tcPr>
            <w:tcW w:w="1701" w:type="dxa"/>
            <w:shd w:val="clear" w:color="auto" w:fill="FBD4B4" w:themeFill="accent6" w:themeFillTint="66"/>
          </w:tcPr>
          <w:p w:rsidR="00590EFB" w:rsidRPr="00590EFB" w:rsidRDefault="00BC3954" w:rsidP="00590EFB">
            <w:pPr>
              <w:spacing w:before="80" w:after="80"/>
              <w:jc w:val="center"/>
              <w:rPr>
                <w:rFonts w:cs="Arial"/>
                <w:b/>
                <w:color w:val="000000" w:themeColor="text1"/>
                <w:szCs w:val="24"/>
              </w:rPr>
            </w:pPr>
            <w:r w:rsidRPr="00590EFB">
              <w:rPr>
                <w:rFonts w:cs="Arial"/>
                <w:b/>
                <w:color w:val="000000" w:themeColor="text1"/>
                <w:szCs w:val="24"/>
              </w:rPr>
              <w:t>Section</w:t>
            </w:r>
          </w:p>
        </w:tc>
        <w:tc>
          <w:tcPr>
            <w:tcW w:w="9638" w:type="dxa"/>
            <w:shd w:val="clear" w:color="auto" w:fill="FBD4B4" w:themeFill="accent6" w:themeFillTint="66"/>
          </w:tcPr>
          <w:p w:rsidR="00BC3954" w:rsidRPr="00590EFB" w:rsidRDefault="00BC3954" w:rsidP="001F1E12">
            <w:pPr>
              <w:spacing w:before="80" w:after="80"/>
              <w:jc w:val="center"/>
              <w:rPr>
                <w:rFonts w:cs="Arial"/>
                <w:b/>
                <w:color w:val="000000" w:themeColor="text1"/>
                <w:szCs w:val="24"/>
              </w:rPr>
            </w:pPr>
            <w:r w:rsidRPr="00590EFB">
              <w:rPr>
                <w:rFonts w:cs="Arial"/>
                <w:b/>
                <w:color w:val="000000" w:themeColor="text1"/>
                <w:szCs w:val="24"/>
              </w:rPr>
              <w:t>Description</w:t>
            </w:r>
          </w:p>
        </w:tc>
        <w:tc>
          <w:tcPr>
            <w:tcW w:w="1701" w:type="dxa"/>
            <w:shd w:val="clear" w:color="auto" w:fill="FBD4B4" w:themeFill="accent6" w:themeFillTint="66"/>
          </w:tcPr>
          <w:p w:rsidR="00BC3954" w:rsidRPr="00590EFB" w:rsidRDefault="00BC3954" w:rsidP="001F1E12">
            <w:pPr>
              <w:spacing w:before="80" w:after="80"/>
              <w:jc w:val="center"/>
              <w:rPr>
                <w:rFonts w:cs="Arial"/>
                <w:b/>
                <w:color w:val="000000" w:themeColor="text1"/>
                <w:szCs w:val="24"/>
              </w:rPr>
            </w:pPr>
            <w:r w:rsidRPr="00590EFB">
              <w:rPr>
                <w:rFonts w:cs="Arial"/>
                <w:b/>
                <w:color w:val="000000" w:themeColor="text1"/>
                <w:szCs w:val="24"/>
              </w:rPr>
              <w:t>Page</w:t>
            </w:r>
          </w:p>
        </w:tc>
      </w:tr>
      <w:tr w:rsidR="004C1EA8" w:rsidRPr="004C1EA8" w:rsidTr="004E2C43">
        <w:trPr>
          <w:trHeight w:val="20"/>
        </w:trPr>
        <w:tc>
          <w:tcPr>
            <w:tcW w:w="1701" w:type="dxa"/>
          </w:tcPr>
          <w:p w:rsidR="00861EB7" w:rsidRPr="004C1EA8" w:rsidRDefault="00861EB7" w:rsidP="004E2C43">
            <w:pPr>
              <w:pStyle w:val="ListParagraph"/>
              <w:spacing w:before="60" w:after="60"/>
              <w:rPr>
                <w:rFonts w:cs="Arial"/>
                <w:b/>
                <w:color w:val="000000" w:themeColor="text1"/>
                <w:szCs w:val="24"/>
              </w:rPr>
            </w:pPr>
          </w:p>
        </w:tc>
        <w:tc>
          <w:tcPr>
            <w:tcW w:w="9638" w:type="dxa"/>
          </w:tcPr>
          <w:p w:rsidR="00861EB7" w:rsidRPr="004C1EA8" w:rsidRDefault="00F22053" w:rsidP="004E2C43">
            <w:pPr>
              <w:spacing w:before="60" w:after="60"/>
              <w:rPr>
                <w:rFonts w:cs="Arial"/>
                <w:b/>
                <w:color w:val="000000" w:themeColor="text1"/>
                <w:szCs w:val="24"/>
              </w:rPr>
            </w:pPr>
            <w:r w:rsidRPr="004C1EA8">
              <w:rPr>
                <w:rFonts w:cs="Arial"/>
                <w:b/>
                <w:color w:val="000000" w:themeColor="text1"/>
                <w:szCs w:val="24"/>
              </w:rPr>
              <w:t>Executive Summary</w:t>
            </w:r>
          </w:p>
        </w:tc>
        <w:tc>
          <w:tcPr>
            <w:tcW w:w="1701" w:type="dxa"/>
          </w:tcPr>
          <w:p w:rsidR="00861EB7" w:rsidRPr="004C1EA8" w:rsidRDefault="00F22053" w:rsidP="004E2C43">
            <w:pPr>
              <w:spacing w:before="60" w:after="60"/>
              <w:jc w:val="center"/>
              <w:rPr>
                <w:rFonts w:cs="Arial"/>
                <w:b/>
                <w:color w:val="000000" w:themeColor="text1"/>
                <w:szCs w:val="24"/>
              </w:rPr>
            </w:pPr>
            <w:r w:rsidRPr="004C1EA8">
              <w:rPr>
                <w:rFonts w:cs="Arial"/>
                <w:b/>
                <w:color w:val="000000" w:themeColor="text1"/>
                <w:szCs w:val="24"/>
              </w:rPr>
              <w:t>3</w:t>
            </w:r>
          </w:p>
        </w:tc>
      </w:tr>
      <w:tr w:rsidR="006F7E2B" w:rsidTr="00590EFB">
        <w:trPr>
          <w:trHeight w:val="113"/>
        </w:trPr>
        <w:tc>
          <w:tcPr>
            <w:tcW w:w="1701" w:type="dxa"/>
          </w:tcPr>
          <w:p w:rsidR="006F7E2B" w:rsidRPr="004C1EA8" w:rsidRDefault="00F22053" w:rsidP="004E2C43">
            <w:pPr>
              <w:pStyle w:val="ListParagraph"/>
              <w:spacing w:before="60" w:after="60"/>
              <w:rPr>
                <w:rFonts w:cs="Arial"/>
                <w:b/>
                <w:color w:val="000000" w:themeColor="text1"/>
                <w:szCs w:val="24"/>
              </w:rPr>
            </w:pPr>
            <w:r w:rsidRPr="004C1EA8">
              <w:rPr>
                <w:rFonts w:cs="Arial"/>
                <w:b/>
                <w:color w:val="000000" w:themeColor="text1"/>
                <w:szCs w:val="24"/>
              </w:rPr>
              <w:t>1</w:t>
            </w:r>
          </w:p>
        </w:tc>
        <w:tc>
          <w:tcPr>
            <w:tcW w:w="9638" w:type="dxa"/>
          </w:tcPr>
          <w:p w:rsidR="006F7E2B" w:rsidRPr="004C1EA8" w:rsidRDefault="00F22053" w:rsidP="004E2C43">
            <w:pPr>
              <w:spacing w:before="60" w:after="60"/>
              <w:rPr>
                <w:rFonts w:cs="Arial"/>
                <w:b/>
                <w:color w:val="000000" w:themeColor="text1"/>
                <w:szCs w:val="24"/>
              </w:rPr>
            </w:pPr>
            <w:r w:rsidRPr="004C1EA8">
              <w:rPr>
                <w:rFonts w:cs="Arial"/>
                <w:b/>
                <w:color w:val="000000" w:themeColor="text1"/>
                <w:szCs w:val="24"/>
              </w:rPr>
              <w:t>Introduction</w:t>
            </w:r>
          </w:p>
        </w:tc>
        <w:tc>
          <w:tcPr>
            <w:tcW w:w="1701" w:type="dxa"/>
          </w:tcPr>
          <w:p w:rsidR="006F7E2B" w:rsidRPr="004C1EA8" w:rsidRDefault="005C1936" w:rsidP="004E2C43">
            <w:pPr>
              <w:spacing w:before="60" w:after="60"/>
              <w:jc w:val="center"/>
              <w:rPr>
                <w:rFonts w:cs="Arial"/>
                <w:b/>
                <w:color w:val="000000" w:themeColor="text1"/>
                <w:szCs w:val="24"/>
              </w:rPr>
            </w:pPr>
            <w:r>
              <w:rPr>
                <w:rFonts w:cs="Arial"/>
                <w:b/>
                <w:color w:val="000000" w:themeColor="text1"/>
                <w:szCs w:val="24"/>
              </w:rPr>
              <w:t>5</w:t>
            </w:r>
          </w:p>
        </w:tc>
      </w:tr>
      <w:tr w:rsidR="001F1E12" w:rsidTr="00590EFB">
        <w:trPr>
          <w:trHeight w:val="113"/>
        </w:trPr>
        <w:tc>
          <w:tcPr>
            <w:tcW w:w="1701" w:type="dxa"/>
          </w:tcPr>
          <w:p w:rsidR="00BC3954" w:rsidRPr="004C1EA8" w:rsidRDefault="00F22053" w:rsidP="004E2C43">
            <w:pPr>
              <w:spacing w:before="60" w:after="60"/>
              <w:jc w:val="center"/>
              <w:rPr>
                <w:rFonts w:cs="Arial"/>
                <w:b/>
                <w:color w:val="000000" w:themeColor="text1"/>
                <w:szCs w:val="24"/>
              </w:rPr>
            </w:pPr>
            <w:r w:rsidRPr="004C1EA8">
              <w:rPr>
                <w:rFonts w:cs="Arial"/>
                <w:b/>
                <w:color w:val="000000" w:themeColor="text1"/>
                <w:szCs w:val="24"/>
              </w:rPr>
              <w:t>2</w:t>
            </w:r>
          </w:p>
        </w:tc>
        <w:tc>
          <w:tcPr>
            <w:tcW w:w="9638" w:type="dxa"/>
          </w:tcPr>
          <w:p w:rsidR="00BC3954" w:rsidRPr="004C1EA8" w:rsidRDefault="005C1936" w:rsidP="004E2C43">
            <w:pPr>
              <w:spacing w:before="60" w:after="60"/>
              <w:rPr>
                <w:rFonts w:cs="Arial"/>
                <w:b/>
                <w:color w:val="000000" w:themeColor="text1"/>
                <w:szCs w:val="24"/>
              </w:rPr>
            </w:pPr>
            <w:r>
              <w:rPr>
                <w:rFonts w:cs="Arial"/>
                <w:b/>
                <w:color w:val="000000" w:themeColor="text1"/>
                <w:szCs w:val="24"/>
              </w:rPr>
              <w:t>DfT Self-Assessment Questionnaire</w:t>
            </w:r>
          </w:p>
        </w:tc>
        <w:tc>
          <w:tcPr>
            <w:tcW w:w="1701" w:type="dxa"/>
          </w:tcPr>
          <w:p w:rsidR="00BC3954" w:rsidRPr="004C1EA8" w:rsidRDefault="005C1936" w:rsidP="004E2C43">
            <w:pPr>
              <w:spacing w:before="60" w:after="60"/>
              <w:jc w:val="center"/>
              <w:rPr>
                <w:rFonts w:cs="Arial"/>
                <w:b/>
                <w:color w:val="000000" w:themeColor="text1"/>
                <w:szCs w:val="24"/>
              </w:rPr>
            </w:pPr>
            <w:r>
              <w:rPr>
                <w:rFonts w:cs="Arial"/>
                <w:b/>
                <w:color w:val="000000" w:themeColor="text1"/>
                <w:szCs w:val="24"/>
              </w:rPr>
              <w:t>5</w:t>
            </w:r>
          </w:p>
        </w:tc>
      </w:tr>
      <w:tr w:rsidR="001F1E12" w:rsidTr="004F0626">
        <w:trPr>
          <w:trHeight w:val="113"/>
        </w:trPr>
        <w:tc>
          <w:tcPr>
            <w:tcW w:w="1701" w:type="dxa"/>
          </w:tcPr>
          <w:p w:rsidR="00BC3954" w:rsidRPr="004C1EA8" w:rsidRDefault="00F22053" w:rsidP="004E2C43">
            <w:pPr>
              <w:spacing w:before="60" w:after="60"/>
              <w:jc w:val="center"/>
              <w:rPr>
                <w:rFonts w:cs="Arial"/>
                <w:b/>
                <w:color w:val="000000" w:themeColor="text1"/>
                <w:szCs w:val="24"/>
              </w:rPr>
            </w:pPr>
            <w:r w:rsidRPr="004C1EA8">
              <w:rPr>
                <w:rFonts w:cs="Arial"/>
                <w:b/>
                <w:color w:val="000000" w:themeColor="text1"/>
                <w:szCs w:val="24"/>
              </w:rPr>
              <w:t>3</w:t>
            </w:r>
          </w:p>
        </w:tc>
        <w:tc>
          <w:tcPr>
            <w:tcW w:w="9638" w:type="dxa"/>
            <w:vAlign w:val="center"/>
          </w:tcPr>
          <w:p w:rsidR="00BC3954" w:rsidRPr="00652651" w:rsidRDefault="00652651" w:rsidP="004E2C43">
            <w:pPr>
              <w:spacing w:before="60" w:after="60"/>
              <w:rPr>
                <w:b/>
                <w:color w:val="000000" w:themeColor="text1"/>
              </w:rPr>
            </w:pPr>
            <w:r w:rsidRPr="00652651">
              <w:rPr>
                <w:rFonts w:eastAsia="Times New Roman" w:cs="Arial"/>
                <w:b/>
                <w:bCs/>
                <w:color w:val="000000" w:themeColor="text1"/>
                <w:szCs w:val="24"/>
                <w:lang w:val="en" w:eastAsia="en-GB"/>
              </w:rPr>
              <w:t>Changes to Highway Asset Management Governance</w:t>
            </w:r>
          </w:p>
        </w:tc>
        <w:tc>
          <w:tcPr>
            <w:tcW w:w="1701" w:type="dxa"/>
          </w:tcPr>
          <w:p w:rsidR="00BC3954" w:rsidRPr="004C1EA8" w:rsidRDefault="004F0626" w:rsidP="004E2C43">
            <w:pPr>
              <w:spacing w:before="60" w:after="60"/>
              <w:jc w:val="center"/>
              <w:rPr>
                <w:rFonts w:cs="Arial"/>
                <w:b/>
                <w:color w:val="000000" w:themeColor="text1"/>
                <w:szCs w:val="24"/>
              </w:rPr>
            </w:pPr>
            <w:r>
              <w:rPr>
                <w:rFonts w:cs="Arial"/>
                <w:b/>
                <w:color w:val="000000" w:themeColor="text1"/>
                <w:szCs w:val="24"/>
              </w:rPr>
              <w:t>7</w:t>
            </w:r>
          </w:p>
        </w:tc>
      </w:tr>
      <w:tr w:rsidR="001F1E12" w:rsidTr="004F0626">
        <w:trPr>
          <w:trHeight w:val="113"/>
        </w:trPr>
        <w:tc>
          <w:tcPr>
            <w:tcW w:w="1701" w:type="dxa"/>
          </w:tcPr>
          <w:p w:rsidR="00BC3954" w:rsidRPr="004C1EA8" w:rsidRDefault="00F22053" w:rsidP="004E2C43">
            <w:pPr>
              <w:spacing w:before="60" w:after="60"/>
              <w:jc w:val="center"/>
              <w:rPr>
                <w:rFonts w:cs="Arial"/>
                <w:b/>
                <w:color w:val="000000" w:themeColor="text1"/>
                <w:szCs w:val="24"/>
              </w:rPr>
            </w:pPr>
            <w:r w:rsidRPr="004C1EA8">
              <w:rPr>
                <w:rFonts w:cs="Arial"/>
                <w:b/>
                <w:color w:val="000000" w:themeColor="text1"/>
                <w:szCs w:val="24"/>
              </w:rPr>
              <w:t>4</w:t>
            </w:r>
          </w:p>
        </w:tc>
        <w:tc>
          <w:tcPr>
            <w:tcW w:w="9638" w:type="dxa"/>
            <w:vAlign w:val="center"/>
          </w:tcPr>
          <w:p w:rsidR="00BC3954" w:rsidRPr="00652651" w:rsidRDefault="00652651" w:rsidP="004E2C43">
            <w:pPr>
              <w:spacing w:before="60" w:after="60"/>
              <w:rPr>
                <w:b/>
                <w:color w:val="000000" w:themeColor="text1"/>
              </w:rPr>
            </w:pPr>
            <w:r w:rsidRPr="00652651">
              <w:rPr>
                <w:b/>
                <w:color w:val="000000" w:themeColor="text1"/>
              </w:rPr>
              <w:t>New Service Standards</w:t>
            </w:r>
          </w:p>
        </w:tc>
        <w:tc>
          <w:tcPr>
            <w:tcW w:w="1701" w:type="dxa"/>
          </w:tcPr>
          <w:p w:rsidR="00BC3954" w:rsidRPr="004C1EA8" w:rsidRDefault="004F0626" w:rsidP="004E2C43">
            <w:pPr>
              <w:spacing w:before="60" w:after="60"/>
              <w:jc w:val="center"/>
              <w:rPr>
                <w:rFonts w:cs="Arial"/>
                <w:b/>
                <w:color w:val="000000" w:themeColor="text1"/>
                <w:szCs w:val="24"/>
              </w:rPr>
            </w:pPr>
            <w:r>
              <w:rPr>
                <w:rFonts w:cs="Arial"/>
                <w:b/>
                <w:color w:val="000000" w:themeColor="text1"/>
                <w:szCs w:val="24"/>
              </w:rPr>
              <w:t>9</w:t>
            </w:r>
          </w:p>
        </w:tc>
      </w:tr>
      <w:tr w:rsidR="00652651" w:rsidTr="00590EFB">
        <w:trPr>
          <w:trHeight w:val="113"/>
        </w:trPr>
        <w:tc>
          <w:tcPr>
            <w:tcW w:w="1701" w:type="dxa"/>
          </w:tcPr>
          <w:p w:rsidR="00652651" w:rsidRPr="004C1EA8" w:rsidRDefault="00652651" w:rsidP="004E2C43">
            <w:pPr>
              <w:spacing w:before="60" w:after="60"/>
              <w:jc w:val="center"/>
              <w:rPr>
                <w:rFonts w:cs="Arial"/>
                <w:b/>
                <w:color w:val="000000" w:themeColor="text1"/>
                <w:szCs w:val="24"/>
              </w:rPr>
            </w:pPr>
            <w:r w:rsidRPr="004C1EA8">
              <w:rPr>
                <w:rFonts w:cs="Arial"/>
                <w:b/>
                <w:color w:val="000000" w:themeColor="text1"/>
                <w:szCs w:val="24"/>
              </w:rPr>
              <w:t>5</w:t>
            </w:r>
          </w:p>
        </w:tc>
        <w:tc>
          <w:tcPr>
            <w:tcW w:w="9638" w:type="dxa"/>
          </w:tcPr>
          <w:p w:rsidR="00652651" w:rsidRPr="004C1EA8" w:rsidRDefault="00B73A1A" w:rsidP="004E2C43">
            <w:pPr>
              <w:spacing w:before="60" w:after="60"/>
              <w:rPr>
                <w:rFonts w:cs="Arial"/>
                <w:b/>
                <w:color w:val="000000" w:themeColor="text1"/>
                <w:szCs w:val="24"/>
              </w:rPr>
            </w:pPr>
            <w:r>
              <w:rPr>
                <w:rFonts w:eastAsia="Times New Roman" w:cs="Arial"/>
                <w:b/>
                <w:bCs/>
                <w:color w:val="000000" w:themeColor="text1"/>
                <w:szCs w:val="24"/>
                <w:lang w:val="en" w:eastAsia="en-GB"/>
              </w:rPr>
              <w:t>Future Developments</w:t>
            </w:r>
          </w:p>
        </w:tc>
        <w:tc>
          <w:tcPr>
            <w:tcW w:w="1701" w:type="dxa"/>
          </w:tcPr>
          <w:p w:rsidR="00652651" w:rsidRDefault="004F0626" w:rsidP="004E2C43">
            <w:pPr>
              <w:spacing w:before="60" w:after="60"/>
              <w:jc w:val="center"/>
              <w:rPr>
                <w:rFonts w:cs="Arial"/>
                <w:b/>
                <w:color w:val="000000" w:themeColor="text1"/>
                <w:szCs w:val="24"/>
              </w:rPr>
            </w:pPr>
            <w:r>
              <w:rPr>
                <w:rFonts w:cs="Arial"/>
                <w:b/>
                <w:color w:val="000000" w:themeColor="text1"/>
                <w:szCs w:val="24"/>
              </w:rPr>
              <w:t>11</w:t>
            </w:r>
          </w:p>
        </w:tc>
      </w:tr>
      <w:tr w:rsidR="001F1E12" w:rsidTr="00590EFB">
        <w:trPr>
          <w:trHeight w:val="113"/>
        </w:trPr>
        <w:tc>
          <w:tcPr>
            <w:tcW w:w="1701" w:type="dxa"/>
          </w:tcPr>
          <w:p w:rsidR="00BC3954" w:rsidRPr="004C1EA8" w:rsidRDefault="00652651" w:rsidP="004E2C43">
            <w:pPr>
              <w:spacing w:before="60" w:after="60"/>
              <w:jc w:val="center"/>
              <w:rPr>
                <w:rFonts w:cs="Arial"/>
                <w:b/>
                <w:color w:val="000000" w:themeColor="text1"/>
                <w:szCs w:val="24"/>
              </w:rPr>
            </w:pPr>
            <w:r w:rsidRPr="004C1EA8">
              <w:rPr>
                <w:rFonts w:cs="Arial"/>
                <w:b/>
                <w:color w:val="000000" w:themeColor="text1"/>
                <w:szCs w:val="24"/>
              </w:rPr>
              <w:t>6</w:t>
            </w:r>
          </w:p>
        </w:tc>
        <w:tc>
          <w:tcPr>
            <w:tcW w:w="9638" w:type="dxa"/>
          </w:tcPr>
          <w:p w:rsidR="00BC3954" w:rsidRPr="004C1EA8" w:rsidRDefault="00F22053" w:rsidP="004E2C43">
            <w:pPr>
              <w:spacing w:before="60" w:after="60"/>
              <w:rPr>
                <w:rFonts w:cs="Arial"/>
                <w:b/>
                <w:color w:val="000000" w:themeColor="text1"/>
                <w:szCs w:val="24"/>
              </w:rPr>
            </w:pPr>
            <w:r w:rsidRPr="004C1EA8">
              <w:rPr>
                <w:rFonts w:cs="Arial"/>
                <w:b/>
                <w:color w:val="000000" w:themeColor="text1"/>
                <w:szCs w:val="24"/>
              </w:rPr>
              <w:t>Revised Asset Condition Data</w:t>
            </w:r>
          </w:p>
        </w:tc>
        <w:tc>
          <w:tcPr>
            <w:tcW w:w="1701" w:type="dxa"/>
          </w:tcPr>
          <w:p w:rsidR="00BC3954" w:rsidRPr="004C1EA8" w:rsidRDefault="005C1936" w:rsidP="004E2C43">
            <w:pPr>
              <w:spacing w:before="60" w:after="60"/>
              <w:jc w:val="center"/>
              <w:rPr>
                <w:rFonts w:cs="Arial"/>
                <w:b/>
                <w:color w:val="000000" w:themeColor="text1"/>
                <w:szCs w:val="24"/>
              </w:rPr>
            </w:pPr>
            <w:r>
              <w:rPr>
                <w:rFonts w:cs="Arial"/>
                <w:b/>
                <w:color w:val="000000" w:themeColor="text1"/>
                <w:szCs w:val="24"/>
              </w:rPr>
              <w:t>1</w:t>
            </w:r>
            <w:r w:rsidR="004F0626">
              <w:rPr>
                <w:rFonts w:cs="Arial"/>
                <w:b/>
                <w:color w:val="000000" w:themeColor="text1"/>
                <w:szCs w:val="24"/>
              </w:rPr>
              <w:t>1</w:t>
            </w:r>
          </w:p>
        </w:tc>
      </w:tr>
      <w:tr w:rsidR="006F7E2B" w:rsidTr="00590EFB">
        <w:trPr>
          <w:trHeight w:val="113"/>
        </w:trPr>
        <w:tc>
          <w:tcPr>
            <w:tcW w:w="1701" w:type="dxa"/>
          </w:tcPr>
          <w:p w:rsidR="00590EFB" w:rsidRPr="004C1EA8" w:rsidRDefault="00590EFB" w:rsidP="00E202EB">
            <w:pPr>
              <w:spacing w:before="60" w:after="60"/>
              <w:jc w:val="center"/>
              <w:rPr>
                <w:rFonts w:cs="Arial"/>
                <w:b/>
                <w:color w:val="000000" w:themeColor="text1"/>
                <w:szCs w:val="24"/>
              </w:rPr>
            </w:pPr>
          </w:p>
        </w:tc>
        <w:tc>
          <w:tcPr>
            <w:tcW w:w="9638" w:type="dxa"/>
          </w:tcPr>
          <w:p w:rsidR="006F7E2B" w:rsidRPr="004C1EA8" w:rsidRDefault="00F22053" w:rsidP="00E202EB">
            <w:pPr>
              <w:spacing w:before="60" w:after="60"/>
              <w:rPr>
                <w:rFonts w:cs="Arial"/>
                <w:b/>
                <w:color w:val="000000" w:themeColor="text1"/>
                <w:szCs w:val="24"/>
              </w:rPr>
            </w:pPr>
            <w:r w:rsidRPr="004C1EA8">
              <w:rPr>
                <w:rFonts w:cs="Arial"/>
                <w:b/>
                <w:color w:val="000000" w:themeColor="text1"/>
                <w:szCs w:val="24"/>
              </w:rPr>
              <w:t>A,B &amp; C Roads</w:t>
            </w:r>
          </w:p>
        </w:tc>
        <w:tc>
          <w:tcPr>
            <w:tcW w:w="1701" w:type="dxa"/>
          </w:tcPr>
          <w:p w:rsidR="006F7E2B" w:rsidRPr="004C1EA8" w:rsidRDefault="005C1936" w:rsidP="00E202EB">
            <w:pPr>
              <w:spacing w:before="60" w:after="60"/>
              <w:jc w:val="center"/>
              <w:rPr>
                <w:rFonts w:cs="Arial"/>
                <w:b/>
                <w:color w:val="000000" w:themeColor="text1"/>
                <w:szCs w:val="24"/>
              </w:rPr>
            </w:pPr>
            <w:r>
              <w:rPr>
                <w:rFonts w:cs="Arial"/>
                <w:b/>
                <w:color w:val="000000" w:themeColor="text1"/>
                <w:szCs w:val="24"/>
              </w:rPr>
              <w:t>13</w:t>
            </w:r>
          </w:p>
        </w:tc>
      </w:tr>
      <w:tr w:rsidR="006F7E2B" w:rsidTr="00590EFB">
        <w:trPr>
          <w:trHeight w:val="113"/>
        </w:trPr>
        <w:tc>
          <w:tcPr>
            <w:tcW w:w="1701" w:type="dxa"/>
          </w:tcPr>
          <w:p w:rsidR="006F7E2B" w:rsidRPr="004C1EA8" w:rsidRDefault="006F7E2B" w:rsidP="00E202EB">
            <w:pPr>
              <w:spacing w:before="60" w:after="60"/>
              <w:jc w:val="center"/>
              <w:rPr>
                <w:rFonts w:cs="Arial"/>
                <w:b/>
                <w:color w:val="000000" w:themeColor="text1"/>
                <w:szCs w:val="24"/>
              </w:rPr>
            </w:pPr>
          </w:p>
        </w:tc>
        <w:tc>
          <w:tcPr>
            <w:tcW w:w="9638" w:type="dxa"/>
          </w:tcPr>
          <w:p w:rsidR="006F7E2B" w:rsidRPr="004C1EA8" w:rsidRDefault="00F22053" w:rsidP="00E202EB">
            <w:pPr>
              <w:spacing w:before="60" w:after="60"/>
              <w:rPr>
                <w:rFonts w:cs="Arial"/>
                <w:b/>
                <w:color w:val="000000" w:themeColor="text1"/>
                <w:szCs w:val="24"/>
              </w:rPr>
            </w:pPr>
            <w:r w:rsidRPr="004C1EA8">
              <w:rPr>
                <w:rFonts w:cs="Arial"/>
                <w:b/>
                <w:color w:val="000000" w:themeColor="text1"/>
                <w:szCs w:val="24"/>
              </w:rPr>
              <w:t>Rural Unclassified Roads</w:t>
            </w:r>
          </w:p>
        </w:tc>
        <w:tc>
          <w:tcPr>
            <w:tcW w:w="1701" w:type="dxa"/>
          </w:tcPr>
          <w:p w:rsidR="006F7E2B" w:rsidRPr="004C1EA8" w:rsidRDefault="005C1936" w:rsidP="00E202EB">
            <w:pPr>
              <w:spacing w:before="60" w:after="60"/>
              <w:jc w:val="center"/>
              <w:rPr>
                <w:rFonts w:cs="Arial"/>
                <w:b/>
                <w:color w:val="000000" w:themeColor="text1"/>
                <w:szCs w:val="24"/>
              </w:rPr>
            </w:pPr>
            <w:r>
              <w:rPr>
                <w:rFonts w:cs="Arial"/>
                <w:b/>
                <w:color w:val="000000" w:themeColor="text1"/>
                <w:szCs w:val="24"/>
              </w:rPr>
              <w:t>16</w:t>
            </w:r>
          </w:p>
        </w:tc>
      </w:tr>
      <w:tr w:rsidR="006F7E2B" w:rsidTr="00590EFB">
        <w:trPr>
          <w:trHeight w:val="113"/>
        </w:trPr>
        <w:tc>
          <w:tcPr>
            <w:tcW w:w="1701" w:type="dxa"/>
          </w:tcPr>
          <w:p w:rsidR="006F7E2B" w:rsidRPr="004C1EA8" w:rsidRDefault="006F7E2B" w:rsidP="00E202EB">
            <w:pPr>
              <w:spacing w:before="60" w:after="60"/>
              <w:jc w:val="center"/>
              <w:rPr>
                <w:rFonts w:cs="Arial"/>
                <w:b/>
                <w:color w:val="000000" w:themeColor="text1"/>
                <w:szCs w:val="24"/>
              </w:rPr>
            </w:pPr>
          </w:p>
        </w:tc>
        <w:tc>
          <w:tcPr>
            <w:tcW w:w="9638" w:type="dxa"/>
          </w:tcPr>
          <w:p w:rsidR="006F7E2B" w:rsidRPr="004C1EA8" w:rsidRDefault="00F22053" w:rsidP="00E202EB">
            <w:pPr>
              <w:spacing w:before="60" w:after="60"/>
              <w:rPr>
                <w:rFonts w:cs="Arial"/>
                <w:b/>
                <w:color w:val="000000" w:themeColor="text1"/>
                <w:szCs w:val="24"/>
              </w:rPr>
            </w:pPr>
            <w:r w:rsidRPr="004C1EA8">
              <w:rPr>
                <w:rFonts w:cs="Arial"/>
                <w:b/>
                <w:color w:val="000000" w:themeColor="text1"/>
                <w:szCs w:val="24"/>
              </w:rPr>
              <w:t>Residential Unclassified Roads</w:t>
            </w:r>
          </w:p>
        </w:tc>
        <w:tc>
          <w:tcPr>
            <w:tcW w:w="1701" w:type="dxa"/>
          </w:tcPr>
          <w:p w:rsidR="006F7E2B" w:rsidRPr="004C1EA8" w:rsidRDefault="005C1936" w:rsidP="00E202EB">
            <w:pPr>
              <w:spacing w:before="60" w:after="60"/>
              <w:jc w:val="center"/>
              <w:rPr>
                <w:rFonts w:cs="Arial"/>
                <w:b/>
                <w:color w:val="000000" w:themeColor="text1"/>
                <w:szCs w:val="24"/>
              </w:rPr>
            </w:pPr>
            <w:r>
              <w:rPr>
                <w:rFonts w:cs="Arial"/>
                <w:b/>
                <w:color w:val="000000" w:themeColor="text1"/>
                <w:szCs w:val="24"/>
              </w:rPr>
              <w:t>17</w:t>
            </w:r>
          </w:p>
        </w:tc>
      </w:tr>
      <w:tr w:rsidR="001F1E12" w:rsidTr="00590EFB">
        <w:trPr>
          <w:trHeight w:val="113"/>
        </w:trPr>
        <w:tc>
          <w:tcPr>
            <w:tcW w:w="1701" w:type="dxa"/>
          </w:tcPr>
          <w:p w:rsidR="00BC3954" w:rsidRPr="004C1EA8" w:rsidRDefault="00BC3954" w:rsidP="00E202EB">
            <w:pPr>
              <w:spacing w:before="60" w:after="60"/>
              <w:jc w:val="center"/>
              <w:rPr>
                <w:rFonts w:cs="Arial"/>
                <w:b/>
                <w:color w:val="000000" w:themeColor="text1"/>
                <w:szCs w:val="24"/>
              </w:rPr>
            </w:pPr>
          </w:p>
        </w:tc>
        <w:tc>
          <w:tcPr>
            <w:tcW w:w="9638" w:type="dxa"/>
          </w:tcPr>
          <w:p w:rsidR="00BC3954" w:rsidRPr="004C1EA8" w:rsidRDefault="00F22053" w:rsidP="00E202EB">
            <w:pPr>
              <w:spacing w:before="60" w:after="60"/>
              <w:rPr>
                <w:rFonts w:cs="Arial"/>
                <w:b/>
                <w:color w:val="000000" w:themeColor="text1"/>
                <w:szCs w:val="24"/>
              </w:rPr>
            </w:pPr>
            <w:r w:rsidRPr="004C1EA8">
              <w:rPr>
                <w:rFonts w:cs="Arial"/>
                <w:b/>
                <w:color w:val="000000" w:themeColor="text1"/>
                <w:szCs w:val="24"/>
              </w:rPr>
              <w:t>Footways</w:t>
            </w:r>
          </w:p>
        </w:tc>
        <w:tc>
          <w:tcPr>
            <w:tcW w:w="1701" w:type="dxa"/>
          </w:tcPr>
          <w:p w:rsidR="00BC3954" w:rsidRPr="004C1EA8" w:rsidRDefault="005C1936" w:rsidP="00E202EB">
            <w:pPr>
              <w:spacing w:before="60" w:after="60"/>
              <w:jc w:val="center"/>
              <w:rPr>
                <w:rFonts w:cs="Arial"/>
                <w:b/>
                <w:color w:val="000000" w:themeColor="text1"/>
                <w:szCs w:val="24"/>
              </w:rPr>
            </w:pPr>
            <w:r>
              <w:rPr>
                <w:rFonts w:cs="Arial"/>
                <w:b/>
                <w:color w:val="000000" w:themeColor="text1"/>
                <w:szCs w:val="24"/>
              </w:rPr>
              <w:t>18</w:t>
            </w:r>
          </w:p>
        </w:tc>
      </w:tr>
      <w:tr w:rsidR="001F1E12" w:rsidTr="00590EFB">
        <w:trPr>
          <w:trHeight w:val="113"/>
        </w:trPr>
        <w:tc>
          <w:tcPr>
            <w:tcW w:w="1701" w:type="dxa"/>
          </w:tcPr>
          <w:p w:rsidR="00BC3954" w:rsidRPr="004C1EA8" w:rsidRDefault="00BC3954" w:rsidP="00E202EB">
            <w:pPr>
              <w:spacing w:before="60" w:after="60"/>
              <w:jc w:val="center"/>
              <w:rPr>
                <w:rFonts w:cs="Arial"/>
                <w:b/>
                <w:color w:val="000000" w:themeColor="text1"/>
                <w:szCs w:val="24"/>
              </w:rPr>
            </w:pPr>
          </w:p>
        </w:tc>
        <w:tc>
          <w:tcPr>
            <w:tcW w:w="9638" w:type="dxa"/>
          </w:tcPr>
          <w:p w:rsidR="00BC3954" w:rsidRPr="004C1EA8" w:rsidRDefault="00F22053" w:rsidP="00E202EB">
            <w:pPr>
              <w:spacing w:before="60" w:after="60"/>
              <w:rPr>
                <w:rFonts w:cs="Arial"/>
                <w:b/>
                <w:color w:val="000000" w:themeColor="text1"/>
                <w:szCs w:val="24"/>
              </w:rPr>
            </w:pPr>
            <w:r w:rsidRPr="004C1EA8">
              <w:rPr>
                <w:rFonts w:cs="Arial"/>
                <w:b/>
                <w:color w:val="000000" w:themeColor="text1"/>
                <w:szCs w:val="24"/>
              </w:rPr>
              <w:t>Bridges and Structures</w:t>
            </w:r>
          </w:p>
        </w:tc>
        <w:tc>
          <w:tcPr>
            <w:tcW w:w="1701" w:type="dxa"/>
          </w:tcPr>
          <w:p w:rsidR="00BC3954" w:rsidRPr="004C1EA8" w:rsidRDefault="005C1936" w:rsidP="00E202EB">
            <w:pPr>
              <w:spacing w:before="60" w:after="60"/>
              <w:jc w:val="center"/>
              <w:rPr>
                <w:rFonts w:cs="Arial"/>
                <w:b/>
                <w:color w:val="000000" w:themeColor="text1"/>
                <w:szCs w:val="24"/>
              </w:rPr>
            </w:pPr>
            <w:r>
              <w:rPr>
                <w:rFonts w:cs="Arial"/>
                <w:b/>
                <w:color w:val="000000" w:themeColor="text1"/>
                <w:szCs w:val="24"/>
              </w:rPr>
              <w:t>19</w:t>
            </w:r>
          </w:p>
        </w:tc>
      </w:tr>
      <w:tr w:rsidR="001E1CC2" w:rsidTr="00590EFB">
        <w:trPr>
          <w:trHeight w:val="113"/>
        </w:trPr>
        <w:tc>
          <w:tcPr>
            <w:tcW w:w="1701" w:type="dxa"/>
          </w:tcPr>
          <w:p w:rsidR="001E1CC2" w:rsidRPr="004C1EA8" w:rsidRDefault="001E1CC2" w:rsidP="00E202EB">
            <w:pPr>
              <w:spacing w:before="60" w:after="60"/>
              <w:jc w:val="center"/>
              <w:rPr>
                <w:rFonts w:cs="Arial"/>
                <w:b/>
                <w:color w:val="000000" w:themeColor="text1"/>
                <w:szCs w:val="24"/>
              </w:rPr>
            </w:pPr>
          </w:p>
        </w:tc>
        <w:tc>
          <w:tcPr>
            <w:tcW w:w="9638" w:type="dxa"/>
          </w:tcPr>
          <w:p w:rsidR="001E1CC2" w:rsidRPr="004C1EA8" w:rsidRDefault="00F22053" w:rsidP="00E202EB">
            <w:pPr>
              <w:spacing w:before="60" w:after="60"/>
              <w:rPr>
                <w:rFonts w:cs="Arial"/>
                <w:b/>
                <w:color w:val="000000" w:themeColor="text1"/>
                <w:szCs w:val="24"/>
              </w:rPr>
            </w:pPr>
            <w:r w:rsidRPr="004C1EA8">
              <w:rPr>
                <w:rFonts w:cs="Arial"/>
                <w:b/>
                <w:color w:val="000000" w:themeColor="text1"/>
                <w:szCs w:val="24"/>
              </w:rPr>
              <w:t>Street Lighting</w:t>
            </w:r>
          </w:p>
        </w:tc>
        <w:tc>
          <w:tcPr>
            <w:tcW w:w="1701" w:type="dxa"/>
          </w:tcPr>
          <w:p w:rsidR="001E1CC2" w:rsidRPr="004C1EA8" w:rsidRDefault="005C1936" w:rsidP="00E202EB">
            <w:pPr>
              <w:spacing w:before="60" w:after="60"/>
              <w:jc w:val="center"/>
              <w:rPr>
                <w:rFonts w:cs="Arial"/>
                <w:b/>
                <w:color w:val="000000" w:themeColor="text1"/>
                <w:szCs w:val="24"/>
              </w:rPr>
            </w:pPr>
            <w:r>
              <w:rPr>
                <w:rFonts w:cs="Arial"/>
                <w:b/>
                <w:color w:val="000000" w:themeColor="text1"/>
                <w:szCs w:val="24"/>
              </w:rPr>
              <w:t>20</w:t>
            </w:r>
          </w:p>
        </w:tc>
      </w:tr>
      <w:tr w:rsidR="001E1CC2" w:rsidTr="00590EFB">
        <w:trPr>
          <w:trHeight w:val="113"/>
        </w:trPr>
        <w:tc>
          <w:tcPr>
            <w:tcW w:w="1701" w:type="dxa"/>
          </w:tcPr>
          <w:p w:rsidR="001E1CC2" w:rsidRPr="004C1EA8" w:rsidRDefault="001E1CC2" w:rsidP="00E202EB">
            <w:pPr>
              <w:spacing w:before="60" w:after="60"/>
              <w:jc w:val="center"/>
              <w:rPr>
                <w:rFonts w:cs="Arial"/>
                <w:b/>
                <w:color w:val="000000" w:themeColor="text1"/>
                <w:szCs w:val="24"/>
              </w:rPr>
            </w:pPr>
          </w:p>
        </w:tc>
        <w:tc>
          <w:tcPr>
            <w:tcW w:w="9638" w:type="dxa"/>
          </w:tcPr>
          <w:p w:rsidR="001E1CC2" w:rsidRPr="004C1EA8" w:rsidRDefault="00F22053" w:rsidP="00E202EB">
            <w:pPr>
              <w:spacing w:before="60" w:after="60"/>
              <w:rPr>
                <w:rFonts w:cs="Arial"/>
                <w:b/>
                <w:color w:val="000000" w:themeColor="text1"/>
                <w:szCs w:val="24"/>
              </w:rPr>
            </w:pPr>
            <w:r w:rsidRPr="004C1EA8">
              <w:rPr>
                <w:rFonts w:cs="Arial"/>
                <w:b/>
                <w:color w:val="000000" w:themeColor="text1"/>
                <w:szCs w:val="24"/>
              </w:rPr>
              <w:t>Traffic Signals</w:t>
            </w:r>
          </w:p>
        </w:tc>
        <w:tc>
          <w:tcPr>
            <w:tcW w:w="1701" w:type="dxa"/>
          </w:tcPr>
          <w:p w:rsidR="001E1CC2" w:rsidRPr="004C1EA8" w:rsidRDefault="005C1936" w:rsidP="00E202EB">
            <w:pPr>
              <w:spacing w:before="60" w:after="60"/>
              <w:jc w:val="center"/>
              <w:rPr>
                <w:rFonts w:cs="Arial"/>
                <w:b/>
                <w:color w:val="000000" w:themeColor="text1"/>
                <w:szCs w:val="24"/>
              </w:rPr>
            </w:pPr>
            <w:r>
              <w:rPr>
                <w:rFonts w:cs="Arial"/>
                <w:b/>
                <w:color w:val="000000" w:themeColor="text1"/>
                <w:szCs w:val="24"/>
              </w:rPr>
              <w:t>21</w:t>
            </w:r>
          </w:p>
        </w:tc>
      </w:tr>
      <w:tr w:rsidR="00F22053" w:rsidTr="00590EFB">
        <w:trPr>
          <w:trHeight w:val="113"/>
        </w:trPr>
        <w:tc>
          <w:tcPr>
            <w:tcW w:w="1701" w:type="dxa"/>
          </w:tcPr>
          <w:p w:rsidR="00F22053" w:rsidRPr="004C1EA8" w:rsidRDefault="00652651" w:rsidP="00E202EB">
            <w:pPr>
              <w:spacing w:before="60" w:after="60"/>
              <w:jc w:val="center"/>
              <w:rPr>
                <w:rFonts w:cs="Arial"/>
                <w:b/>
                <w:color w:val="000000" w:themeColor="text1"/>
                <w:szCs w:val="24"/>
              </w:rPr>
            </w:pPr>
            <w:r w:rsidRPr="004C1EA8">
              <w:rPr>
                <w:rFonts w:cs="Arial"/>
                <w:b/>
                <w:color w:val="000000" w:themeColor="text1"/>
                <w:szCs w:val="24"/>
              </w:rPr>
              <w:t>7</w:t>
            </w:r>
          </w:p>
        </w:tc>
        <w:tc>
          <w:tcPr>
            <w:tcW w:w="9638" w:type="dxa"/>
          </w:tcPr>
          <w:p w:rsidR="00F22053" w:rsidRPr="004C1EA8" w:rsidRDefault="00F22053" w:rsidP="00E202EB">
            <w:pPr>
              <w:spacing w:before="60" w:after="60"/>
              <w:jc w:val="both"/>
              <w:rPr>
                <w:rFonts w:cs="Arial"/>
                <w:b/>
                <w:color w:val="000000" w:themeColor="text1"/>
                <w:szCs w:val="24"/>
              </w:rPr>
            </w:pPr>
            <w:r w:rsidRPr="004C1EA8">
              <w:rPr>
                <w:rFonts w:cs="Arial"/>
                <w:b/>
                <w:color w:val="000000" w:themeColor="text1"/>
                <w:szCs w:val="24"/>
              </w:rPr>
              <w:t>Service Standards</w:t>
            </w:r>
          </w:p>
        </w:tc>
        <w:tc>
          <w:tcPr>
            <w:tcW w:w="1701" w:type="dxa"/>
          </w:tcPr>
          <w:p w:rsidR="00F22053" w:rsidRPr="004C1EA8" w:rsidRDefault="00F22053" w:rsidP="00E202EB">
            <w:pPr>
              <w:spacing w:before="60" w:after="60"/>
              <w:jc w:val="center"/>
              <w:rPr>
                <w:rFonts w:cs="Arial"/>
                <w:b/>
                <w:color w:val="000000" w:themeColor="text1"/>
                <w:szCs w:val="24"/>
              </w:rPr>
            </w:pPr>
            <w:r w:rsidRPr="004C1EA8">
              <w:rPr>
                <w:rFonts w:cs="Arial"/>
                <w:b/>
                <w:color w:val="000000" w:themeColor="text1"/>
                <w:szCs w:val="24"/>
              </w:rPr>
              <w:t>2</w:t>
            </w:r>
            <w:r w:rsidR="005C1936">
              <w:rPr>
                <w:rFonts w:cs="Arial"/>
                <w:b/>
                <w:color w:val="000000" w:themeColor="text1"/>
                <w:szCs w:val="24"/>
              </w:rPr>
              <w:t>2</w:t>
            </w:r>
          </w:p>
        </w:tc>
      </w:tr>
      <w:tr w:rsidR="00F22053" w:rsidTr="00590EFB">
        <w:trPr>
          <w:trHeight w:val="113"/>
        </w:trPr>
        <w:tc>
          <w:tcPr>
            <w:tcW w:w="1701" w:type="dxa"/>
          </w:tcPr>
          <w:p w:rsidR="00F22053" w:rsidRPr="004C1EA8" w:rsidRDefault="00F22053" w:rsidP="00E202EB">
            <w:pPr>
              <w:spacing w:before="60" w:after="60"/>
              <w:jc w:val="center"/>
              <w:rPr>
                <w:rFonts w:cs="Arial"/>
                <w:b/>
                <w:color w:val="000000" w:themeColor="text1"/>
                <w:szCs w:val="24"/>
              </w:rPr>
            </w:pPr>
          </w:p>
        </w:tc>
        <w:tc>
          <w:tcPr>
            <w:tcW w:w="9638" w:type="dxa"/>
          </w:tcPr>
          <w:p w:rsidR="00F22053" w:rsidRPr="004C1EA8" w:rsidRDefault="006A1F81" w:rsidP="00E202EB">
            <w:pPr>
              <w:spacing w:before="60" w:after="60"/>
              <w:jc w:val="both"/>
              <w:rPr>
                <w:rFonts w:cs="Arial"/>
                <w:b/>
                <w:color w:val="000000" w:themeColor="text1"/>
                <w:szCs w:val="24"/>
              </w:rPr>
            </w:pPr>
            <w:r w:rsidRPr="004C1EA8">
              <w:rPr>
                <w:rFonts w:cs="Arial"/>
                <w:b/>
                <w:color w:val="000000" w:themeColor="text1"/>
                <w:szCs w:val="24"/>
              </w:rPr>
              <w:t>Conclusion</w:t>
            </w:r>
          </w:p>
        </w:tc>
        <w:tc>
          <w:tcPr>
            <w:tcW w:w="1701" w:type="dxa"/>
          </w:tcPr>
          <w:p w:rsidR="00F22053" w:rsidRPr="004C1EA8" w:rsidRDefault="006A1F81" w:rsidP="00E202EB">
            <w:pPr>
              <w:spacing w:before="60" w:after="60"/>
              <w:jc w:val="center"/>
              <w:rPr>
                <w:rFonts w:cs="Arial"/>
                <w:b/>
                <w:color w:val="000000" w:themeColor="text1"/>
                <w:szCs w:val="24"/>
              </w:rPr>
            </w:pPr>
            <w:r w:rsidRPr="004C1EA8">
              <w:rPr>
                <w:rFonts w:cs="Arial"/>
                <w:b/>
                <w:color w:val="000000" w:themeColor="text1"/>
                <w:szCs w:val="24"/>
              </w:rPr>
              <w:t>2</w:t>
            </w:r>
            <w:r w:rsidR="005C1936">
              <w:rPr>
                <w:rFonts w:cs="Arial"/>
                <w:b/>
                <w:color w:val="000000" w:themeColor="text1"/>
                <w:szCs w:val="24"/>
              </w:rPr>
              <w:t>4</w:t>
            </w:r>
          </w:p>
        </w:tc>
      </w:tr>
      <w:tr w:rsidR="00F22053" w:rsidTr="00590EFB">
        <w:trPr>
          <w:trHeight w:val="113"/>
        </w:trPr>
        <w:tc>
          <w:tcPr>
            <w:tcW w:w="1701" w:type="dxa"/>
          </w:tcPr>
          <w:p w:rsidR="00F22053" w:rsidRPr="004C1EA8" w:rsidRDefault="00F22053" w:rsidP="00E202EB">
            <w:pPr>
              <w:spacing w:before="60" w:after="60"/>
              <w:jc w:val="center"/>
              <w:rPr>
                <w:rFonts w:cs="Arial"/>
                <w:b/>
                <w:color w:val="000000" w:themeColor="text1"/>
                <w:szCs w:val="24"/>
              </w:rPr>
            </w:pPr>
          </w:p>
        </w:tc>
        <w:tc>
          <w:tcPr>
            <w:tcW w:w="9638" w:type="dxa"/>
          </w:tcPr>
          <w:p w:rsidR="00F22053" w:rsidRPr="004C1EA8" w:rsidRDefault="006A1F81" w:rsidP="00E202EB">
            <w:pPr>
              <w:spacing w:before="60" w:after="60"/>
              <w:jc w:val="both"/>
              <w:rPr>
                <w:rFonts w:cs="Arial"/>
                <w:b/>
                <w:color w:val="000000" w:themeColor="text1"/>
                <w:szCs w:val="24"/>
              </w:rPr>
            </w:pPr>
            <w:r w:rsidRPr="004C1EA8">
              <w:rPr>
                <w:rFonts w:cs="Arial"/>
                <w:b/>
                <w:color w:val="000000" w:themeColor="text1"/>
                <w:szCs w:val="24"/>
              </w:rPr>
              <w:t xml:space="preserve">Appendix 1 </w:t>
            </w:r>
            <w:r w:rsidR="00F54D6A">
              <w:rPr>
                <w:rFonts w:cs="Arial"/>
                <w:b/>
                <w:color w:val="000000" w:themeColor="text1"/>
                <w:szCs w:val="24"/>
              </w:rPr>
              <w:t>-</w:t>
            </w:r>
            <w:r w:rsidRPr="004C1EA8">
              <w:rPr>
                <w:rFonts w:cs="Arial"/>
                <w:b/>
                <w:color w:val="000000" w:themeColor="text1"/>
                <w:szCs w:val="24"/>
              </w:rPr>
              <w:t xml:space="preserve"> Generic Service Standards</w:t>
            </w:r>
          </w:p>
        </w:tc>
        <w:tc>
          <w:tcPr>
            <w:tcW w:w="1701" w:type="dxa"/>
          </w:tcPr>
          <w:p w:rsidR="00F22053" w:rsidRPr="004C1EA8" w:rsidRDefault="006A1F81" w:rsidP="00E202EB">
            <w:pPr>
              <w:spacing w:before="60" w:after="60"/>
              <w:jc w:val="center"/>
              <w:rPr>
                <w:rFonts w:cs="Arial"/>
                <w:b/>
                <w:color w:val="000000" w:themeColor="text1"/>
                <w:szCs w:val="24"/>
              </w:rPr>
            </w:pPr>
            <w:r w:rsidRPr="004C1EA8">
              <w:rPr>
                <w:rFonts w:cs="Arial"/>
                <w:b/>
                <w:color w:val="000000" w:themeColor="text1"/>
                <w:szCs w:val="24"/>
              </w:rPr>
              <w:t>2</w:t>
            </w:r>
            <w:r w:rsidR="005C1936">
              <w:rPr>
                <w:rFonts w:cs="Arial"/>
                <w:b/>
                <w:color w:val="000000" w:themeColor="text1"/>
                <w:szCs w:val="24"/>
              </w:rPr>
              <w:t>5</w:t>
            </w:r>
          </w:p>
        </w:tc>
      </w:tr>
      <w:tr w:rsidR="004E2C43" w:rsidTr="00590EFB">
        <w:trPr>
          <w:trHeight w:val="113"/>
        </w:trPr>
        <w:tc>
          <w:tcPr>
            <w:tcW w:w="1701" w:type="dxa"/>
          </w:tcPr>
          <w:p w:rsidR="004E2C43" w:rsidRPr="004C1EA8" w:rsidRDefault="004E2C43" w:rsidP="00E202EB">
            <w:pPr>
              <w:spacing w:before="60" w:after="60"/>
              <w:jc w:val="center"/>
              <w:rPr>
                <w:rFonts w:cs="Arial"/>
                <w:b/>
                <w:color w:val="000000" w:themeColor="text1"/>
                <w:szCs w:val="24"/>
              </w:rPr>
            </w:pPr>
          </w:p>
        </w:tc>
        <w:tc>
          <w:tcPr>
            <w:tcW w:w="9638" w:type="dxa"/>
          </w:tcPr>
          <w:p w:rsidR="004E2C43" w:rsidRPr="004C1EA8" w:rsidRDefault="004E2C43" w:rsidP="00E202EB">
            <w:pPr>
              <w:spacing w:before="60" w:after="60"/>
              <w:jc w:val="both"/>
              <w:rPr>
                <w:rFonts w:cs="Arial"/>
                <w:b/>
                <w:color w:val="000000" w:themeColor="text1"/>
                <w:szCs w:val="24"/>
              </w:rPr>
            </w:pPr>
            <w:r>
              <w:rPr>
                <w:rFonts w:cs="Arial"/>
                <w:b/>
                <w:color w:val="000000" w:themeColor="text1"/>
                <w:szCs w:val="24"/>
              </w:rPr>
              <w:t xml:space="preserve">Appendix 2 </w:t>
            </w:r>
            <w:r w:rsidR="00F54D6A">
              <w:rPr>
                <w:rFonts w:cs="Arial"/>
                <w:b/>
                <w:color w:val="000000" w:themeColor="text1"/>
                <w:szCs w:val="24"/>
              </w:rPr>
              <w:t>-</w:t>
            </w:r>
            <w:r>
              <w:rPr>
                <w:rFonts w:cs="Arial"/>
                <w:b/>
                <w:color w:val="000000" w:themeColor="text1"/>
                <w:szCs w:val="24"/>
              </w:rPr>
              <w:t xml:space="preserve"> Asset Quantities</w:t>
            </w:r>
          </w:p>
        </w:tc>
        <w:tc>
          <w:tcPr>
            <w:tcW w:w="1701" w:type="dxa"/>
          </w:tcPr>
          <w:p w:rsidR="004E2C43" w:rsidRPr="004C1EA8" w:rsidRDefault="004E2C43" w:rsidP="00E202EB">
            <w:pPr>
              <w:spacing w:before="60" w:after="60"/>
              <w:jc w:val="center"/>
              <w:rPr>
                <w:rFonts w:cs="Arial"/>
                <w:b/>
                <w:color w:val="000000" w:themeColor="text1"/>
                <w:szCs w:val="24"/>
              </w:rPr>
            </w:pPr>
            <w:r>
              <w:rPr>
                <w:rFonts w:cs="Arial"/>
                <w:b/>
                <w:color w:val="000000" w:themeColor="text1"/>
                <w:szCs w:val="24"/>
              </w:rPr>
              <w:t>33</w:t>
            </w:r>
          </w:p>
        </w:tc>
      </w:tr>
    </w:tbl>
    <w:p w:rsidR="00BC3954" w:rsidRDefault="00BC3954">
      <w:pPr>
        <w:rPr>
          <w:b/>
          <w:color w:val="000000" w:themeColor="text1"/>
          <w:sz w:val="28"/>
          <w:szCs w:val="28"/>
        </w:rPr>
      </w:pPr>
    </w:p>
    <w:p w:rsidR="00BC3954" w:rsidRDefault="00BC3954">
      <w:pPr>
        <w:rPr>
          <w:b/>
          <w:color w:val="000000" w:themeColor="text1"/>
          <w:sz w:val="28"/>
          <w:szCs w:val="28"/>
        </w:rPr>
        <w:sectPr w:rsidR="00BC3954" w:rsidSect="00C9191C">
          <w:pgSz w:w="16838" w:h="11906" w:orient="landscape"/>
          <w:pgMar w:top="1440" w:right="1440" w:bottom="1440" w:left="1440" w:header="708" w:footer="708" w:gutter="0"/>
          <w:cols w:space="708"/>
          <w:titlePg/>
          <w:docGrid w:linePitch="360"/>
        </w:sectPr>
      </w:pPr>
    </w:p>
    <w:p w:rsidR="00747E19" w:rsidRDefault="000108F9" w:rsidP="000108F9">
      <w:pPr>
        <w:spacing w:after="0"/>
        <w:jc w:val="center"/>
        <w:rPr>
          <w:b/>
          <w:color w:val="000000" w:themeColor="text1"/>
          <w:sz w:val="28"/>
          <w:szCs w:val="28"/>
        </w:rPr>
      </w:pPr>
      <w:r w:rsidRPr="000108F9">
        <w:rPr>
          <w:b/>
          <w:color w:val="000000" w:themeColor="text1"/>
          <w:sz w:val="28"/>
          <w:szCs w:val="28"/>
        </w:rPr>
        <w:t>Transport Asset Management Plan</w:t>
      </w:r>
      <w:r w:rsidR="006F7284">
        <w:rPr>
          <w:b/>
          <w:color w:val="000000" w:themeColor="text1"/>
          <w:sz w:val="28"/>
          <w:szCs w:val="28"/>
        </w:rPr>
        <w:t xml:space="preserve"> – </w:t>
      </w:r>
      <w:r w:rsidR="00916E00">
        <w:rPr>
          <w:b/>
          <w:color w:val="000000" w:themeColor="text1"/>
          <w:sz w:val="28"/>
          <w:szCs w:val="28"/>
        </w:rPr>
        <w:t xml:space="preserve">Draft </w:t>
      </w:r>
      <w:r w:rsidR="006F7284">
        <w:rPr>
          <w:b/>
          <w:color w:val="000000" w:themeColor="text1"/>
          <w:sz w:val="28"/>
          <w:szCs w:val="28"/>
        </w:rPr>
        <w:t xml:space="preserve">Data Refresh </w:t>
      </w:r>
      <w:r w:rsidR="00CC5128">
        <w:rPr>
          <w:b/>
          <w:color w:val="000000" w:themeColor="text1"/>
          <w:sz w:val="28"/>
          <w:szCs w:val="28"/>
        </w:rPr>
        <w:t>October</w:t>
      </w:r>
      <w:r w:rsidR="0010034E">
        <w:rPr>
          <w:b/>
          <w:color w:val="000000" w:themeColor="text1"/>
          <w:sz w:val="28"/>
          <w:szCs w:val="28"/>
        </w:rPr>
        <w:t xml:space="preserve"> 201</w:t>
      </w:r>
      <w:r w:rsidR="00B73255">
        <w:rPr>
          <w:b/>
          <w:color w:val="000000" w:themeColor="text1"/>
          <w:sz w:val="28"/>
          <w:szCs w:val="28"/>
        </w:rPr>
        <w:t>8</w:t>
      </w:r>
    </w:p>
    <w:p w:rsidR="006F7E2B" w:rsidRPr="00CB29D2" w:rsidRDefault="006F7E2B" w:rsidP="00F679F6">
      <w:pPr>
        <w:spacing w:after="0"/>
        <w:rPr>
          <w:color w:val="000000" w:themeColor="text1"/>
          <w:szCs w:val="24"/>
        </w:rPr>
      </w:pPr>
    </w:p>
    <w:p w:rsidR="00747E19" w:rsidRDefault="00747E19" w:rsidP="00366598">
      <w:pPr>
        <w:spacing w:after="0"/>
        <w:rPr>
          <w:rFonts w:cs="Arial"/>
          <w:b/>
          <w:color w:val="000000" w:themeColor="text1"/>
        </w:rPr>
        <w:sectPr w:rsidR="00747E19" w:rsidSect="00747E19">
          <w:pgSz w:w="16838" w:h="11906" w:orient="landscape"/>
          <w:pgMar w:top="1134" w:right="1134" w:bottom="1134" w:left="1134" w:header="709" w:footer="709" w:gutter="0"/>
          <w:cols w:space="708"/>
          <w:docGrid w:linePitch="360"/>
        </w:sectPr>
      </w:pPr>
    </w:p>
    <w:p w:rsidR="00111B25" w:rsidRPr="0072651B" w:rsidRDefault="00111B25" w:rsidP="00366598">
      <w:pPr>
        <w:spacing w:after="0"/>
        <w:rPr>
          <w:rFonts w:cs="Arial"/>
          <w:b/>
          <w:color w:val="000000" w:themeColor="text1"/>
        </w:rPr>
      </w:pPr>
      <w:r w:rsidRPr="0072651B">
        <w:rPr>
          <w:rFonts w:cs="Arial"/>
          <w:b/>
          <w:color w:val="000000" w:themeColor="text1"/>
        </w:rPr>
        <w:t xml:space="preserve">Executive </w:t>
      </w:r>
      <w:r w:rsidRPr="004C1EA8">
        <w:rPr>
          <w:rFonts w:cs="Arial"/>
          <w:b/>
          <w:color w:val="000000" w:themeColor="text1"/>
        </w:rPr>
        <w:t>Summary</w:t>
      </w:r>
    </w:p>
    <w:p w:rsidR="00201402" w:rsidRPr="0072651B" w:rsidRDefault="00201402" w:rsidP="00201402">
      <w:pPr>
        <w:spacing w:after="0"/>
        <w:jc w:val="both"/>
        <w:rPr>
          <w:rFonts w:cs="Arial"/>
          <w:color w:val="000000" w:themeColor="text1"/>
        </w:rPr>
      </w:pPr>
    </w:p>
    <w:p w:rsidR="00201402" w:rsidRPr="0072651B" w:rsidRDefault="00A40D83" w:rsidP="00A40D83">
      <w:pPr>
        <w:autoSpaceDE w:val="0"/>
        <w:autoSpaceDN w:val="0"/>
        <w:adjustRightInd w:val="0"/>
        <w:spacing w:after="0"/>
        <w:jc w:val="both"/>
        <w:rPr>
          <w:rFonts w:cs="Arial"/>
          <w:color w:val="000000" w:themeColor="text1"/>
        </w:rPr>
      </w:pPr>
      <w:r w:rsidRPr="0072651B">
        <w:rPr>
          <w:rFonts w:ascii="TT5ECDAEo00" w:hAnsi="TT5ECDAEo00" w:cs="TT5ECDAEo00"/>
          <w:color w:val="000000" w:themeColor="text1"/>
          <w:szCs w:val="24"/>
        </w:rPr>
        <w:t xml:space="preserve">The </w:t>
      </w:r>
      <w:r w:rsidR="009C3D7B" w:rsidRPr="0072651B">
        <w:rPr>
          <w:rFonts w:ascii="TT5ECDAEo00" w:hAnsi="TT5ECDAEo00" w:cs="TT5ECDAEo00"/>
          <w:color w:val="000000" w:themeColor="text1"/>
          <w:szCs w:val="24"/>
        </w:rPr>
        <w:t>Transport Asset Management Plan 2015-2030 (TAMP)</w:t>
      </w:r>
      <w:r w:rsidRPr="0072651B">
        <w:rPr>
          <w:rFonts w:ascii="TT5ECDAEo00" w:hAnsi="TT5ECDAEo00" w:cs="TT5ECDAEo00"/>
          <w:color w:val="000000" w:themeColor="text1"/>
          <w:szCs w:val="24"/>
        </w:rPr>
        <w:t xml:space="preserve"> was approved by the Cabinet Member for Highways and Transport on 10</w:t>
      </w:r>
      <w:r w:rsidRPr="0072651B">
        <w:rPr>
          <w:rFonts w:ascii="TT5ECDB0o00" w:hAnsi="TT5ECDB0o00" w:cs="TT5ECDB0o00"/>
          <w:color w:val="000000" w:themeColor="text1"/>
          <w:sz w:val="16"/>
          <w:szCs w:val="16"/>
        </w:rPr>
        <w:t xml:space="preserve"> </w:t>
      </w:r>
      <w:r w:rsidRPr="0072651B">
        <w:rPr>
          <w:rFonts w:ascii="TT5ECDAEo00" w:hAnsi="TT5ECDAEo00" w:cs="TT5ECDAEo00"/>
          <w:color w:val="000000" w:themeColor="text1"/>
          <w:szCs w:val="24"/>
        </w:rPr>
        <w:t>June 2014 and</w:t>
      </w:r>
      <w:r w:rsidR="00201402" w:rsidRPr="0072651B">
        <w:rPr>
          <w:rFonts w:cs="Arial"/>
          <w:color w:val="000000" w:themeColor="text1"/>
        </w:rPr>
        <w:t xml:space="preserve"> identifies the key strategic priorities of </w:t>
      </w:r>
      <w:r w:rsidR="006A1F81" w:rsidRPr="0072651B">
        <w:rPr>
          <w:rFonts w:cs="Arial"/>
          <w:color w:val="000000" w:themeColor="text1"/>
        </w:rPr>
        <w:t>the</w:t>
      </w:r>
      <w:r w:rsidR="00201402" w:rsidRPr="0072651B">
        <w:rPr>
          <w:rFonts w:cs="Arial"/>
          <w:color w:val="000000" w:themeColor="text1"/>
        </w:rPr>
        <w:t xml:space="preserve"> County Council, as the highway authority for Lancashire, during the period 2015/16 to 2029/30.</w:t>
      </w:r>
    </w:p>
    <w:p w:rsidR="00201402" w:rsidRPr="0072651B" w:rsidRDefault="00201402" w:rsidP="00201402">
      <w:pPr>
        <w:spacing w:after="0"/>
        <w:jc w:val="both"/>
        <w:rPr>
          <w:rFonts w:cs="Arial"/>
          <w:color w:val="000000" w:themeColor="text1"/>
        </w:rPr>
      </w:pPr>
    </w:p>
    <w:p w:rsidR="00F92857" w:rsidRPr="0072651B" w:rsidRDefault="00F92857" w:rsidP="00F92857">
      <w:pPr>
        <w:spacing w:after="0"/>
        <w:jc w:val="both"/>
        <w:rPr>
          <w:rFonts w:cs="Arial"/>
          <w:color w:val="000000" w:themeColor="text1"/>
        </w:rPr>
      </w:pPr>
      <w:r w:rsidRPr="0072651B">
        <w:rPr>
          <w:rFonts w:cs="Arial"/>
          <w:color w:val="000000" w:themeColor="text1"/>
        </w:rPr>
        <w:t>This document provides an update of the changes that have occurred both nationally within the highway sector since the original TAMP was approved and locally within Lancashire.  This document also provides us with an opportunity to report the latest condition of our assets so that our performance over the past 12 months can be measured and scrutinised.</w:t>
      </w:r>
    </w:p>
    <w:p w:rsidR="00F92857" w:rsidRPr="0072651B" w:rsidRDefault="00F92857" w:rsidP="00201402">
      <w:pPr>
        <w:spacing w:after="0"/>
        <w:jc w:val="both"/>
        <w:rPr>
          <w:rFonts w:cs="Arial"/>
          <w:color w:val="000000" w:themeColor="text1"/>
        </w:rPr>
      </w:pPr>
    </w:p>
    <w:p w:rsidR="00F92857" w:rsidRPr="0072651B" w:rsidRDefault="00F92857" w:rsidP="00F92857">
      <w:pPr>
        <w:spacing w:after="0"/>
        <w:jc w:val="both"/>
        <w:rPr>
          <w:rFonts w:eastAsia="Times New Roman" w:cs="Arial"/>
          <w:bCs/>
          <w:color w:val="000000" w:themeColor="text1"/>
          <w:szCs w:val="24"/>
          <w:lang w:val="en" w:eastAsia="en-GB"/>
        </w:rPr>
      </w:pPr>
      <w:r w:rsidRPr="0072651B">
        <w:rPr>
          <w:rFonts w:eastAsia="Times New Roman" w:cs="Arial"/>
          <w:bCs/>
          <w:color w:val="000000" w:themeColor="text1"/>
          <w:szCs w:val="24"/>
          <w:lang w:val="en" w:eastAsia="en-GB"/>
        </w:rPr>
        <w:t>This data refresh is intended to supplement both the original TAMP and previous years refresh documents rather than replace them, so that when these documents are read together they provide an up to date and ongoing analysis of the current condition of our transport assets and detailed information of any new pressures we are facing.</w:t>
      </w:r>
    </w:p>
    <w:p w:rsidR="00F92857" w:rsidRPr="0072651B" w:rsidRDefault="00F92857" w:rsidP="00201402">
      <w:pPr>
        <w:spacing w:after="0"/>
        <w:jc w:val="both"/>
        <w:rPr>
          <w:rFonts w:eastAsia="Times New Roman" w:cs="Arial"/>
          <w:bCs/>
          <w:color w:val="000000" w:themeColor="text1"/>
          <w:szCs w:val="24"/>
          <w:lang w:val="en" w:eastAsia="en-GB"/>
        </w:rPr>
      </w:pPr>
    </w:p>
    <w:p w:rsidR="00F92857" w:rsidRPr="0072651B" w:rsidRDefault="00F92857" w:rsidP="00F92857">
      <w:pPr>
        <w:spacing w:after="0"/>
        <w:jc w:val="both"/>
        <w:rPr>
          <w:rFonts w:eastAsia="Times New Roman" w:cs="Arial"/>
          <w:bCs/>
          <w:color w:val="000000" w:themeColor="text1"/>
          <w:szCs w:val="24"/>
          <w:lang w:val="en" w:eastAsia="en-GB"/>
        </w:rPr>
      </w:pPr>
      <w:r w:rsidRPr="0072651B">
        <w:rPr>
          <w:rFonts w:eastAsia="Times New Roman" w:cs="Arial"/>
          <w:bCs/>
          <w:color w:val="000000" w:themeColor="text1"/>
          <w:szCs w:val="24"/>
          <w:lang w:val="en" w:eastAsia="en-GB"/>
        </w:rPr>
        <w:t>In a</w:t>
      </w:r>
      <w:r w:rsidR="00733CCC">
        <w:rPr>
          <w:rFonts w:eastAsia="Times New Roman" w:cs="Arial"/>
          <w:bCs/>
          <w:color w:val="000000" w:themeColor="text1"/>
          <w:szCs w:val="24"/>
          <w:lang w:val="en" w:eastAsia="en-GB"/>
        </w:rPr>
        <w:t xml:space="preserve">ddition, the annual data </w:t>
      </w:r>
      <w:r w:rsidRPr="0072651B">
        <w:rPr>
          <w:rFonts w:eastAsia="Times New Roman" w:cs="Arial"/>
          <w:bCs/>
          <w:color w:val="000000" w:themeColor="text1"/>
          <w:szCs w:val="24"/>
          <w:lang w:val="en" w:eastAsia="en-GB"/>
        </w:rPr>
        <w:t>process enables the County Council to include information about those transport assets that were not included in the TAMP but for which further information is now available or highlight any changes that are proposed for data capture as a result of using new technology etc.</w:t>
      </w:r>
    </w:p>
    <w:p w:rsidR="00F92857" w:rsidRPr="0072651B" w:rsidRDefault="00F92857" w:rsidP="00201402">
      <w:pPr>
        <w:spacing w:after="0"/>
        <w:jc w:val="both"/>
        <w:rPr>
          <w:rFonts w:eastAsia="Times New Roman" w:cs="Arial"/>
          <w:bCs/>
          <w:color w:val="000000" w:themeColor="text1"/>
          <w:szCs w:val="24"/>
          <w:lang w:val="en" w:eastAsia="en-GB"/>
        </w:rPr>
      </w:pPr>
    </w:p>
    <w:p w:rsidR="00D42E0E" w:rsidRPr="0072651B" w:rsidRDefault="00F92857" w:rsidP="00FD7BAA">
      <w:pPr>
        <w:spacing w:after="0"/>
        <w:jc w:val="both"/>
        <w:rPr>
          <w:rFonts w:cs="Arial"/>
          <w:color w:val="000000" w:themeColor="text1"/>
        </w:rPr>
      </w:pPr>
      <w:r w:rsidRPr="004451CE">
        <w:rPr>
          <w:rFonts w:cs="Arial"/>
          <w:color w:val="000000" w:themeColor="text1"/>
        </w:rPr>
        <w:t>S</w:t>
      </w:r>
      <w:r w:rsidR="004451CE" w:rsidRPr="004451CE">
        <w:rPr>
          <w:rFonts w:cs="Arial"/>
          <w:color w:val="000000" w:themeColor="text1"/>
        </w:rPr>
        <w:t xml:space="preserve">hortly after producing the </w:t>
      </w:r>
      <w:r w:rsidRPr="004451CE">
        <w:rPr>
          <w:rFonts w:cs="Arial"/>
          <w:color w:val="000000" w:themeColor="text1"/>
        </w:rPr>
        <w:t xml:space="preserve">last </w:t>
      </w:r>
      <w:r w:rsidR="004451CE" w:rsidRPr="004451CE">
        <w:rPr>
          <w:rFonts w:cs="Arial"/>
          <w:color w:val="000000" w:themeColor="text1"/>
        </w:rPr>
        <w:t xml:space="preserve">TAMP </w:t>
      </w:r>
      <w:r w:rsidRPr="004451CE">
        <w:rPr>
          <w:rFonts w:cs="Arial"/>
          <w:color w:val="000000" w:themeColor="text1"/>
        </w:rPr>
        <w:t xml:space="preserve">refresh </w:t>
      </w:r>
      <w:r w:rsidR="004451CE" w:rsidRPr="004451CE">
        <w:rPr>
          <w:rFonts w:cs="Arial"/>
          <w:color w:val="000000" w:themeColor="text1"/>
        </w:rPr>
        <w:t xml:space="preserve">document </w:t>
      </w:r>
      <w:r w:rsidR="00F57FC7" w:rsidRPr="004451CE">
        <w:rPr>
          <w:rFonts w:cs="Arial"/>
          <w:color w:val="000000" w:themeColor="text1"/>
        </w:rPr>
        <w:t xml:space="preserve">in </w:t>
      </w:r>
      <w:r w:rsidR="004451CE" w:rsidRPr="004451CE">
        <w:rPr>
          <w:rFonts w:cs="Arial"/>
          <w:color w:val="000000" w:themeColor="text1"/>
        </w:rPr>
        <w:t>December 2017</w:t>
      </w:r>
      <w:r w:rsidR="00F57FC7" w:rsidRPr="004451CE">
        <w:rPr>
          <w:rFonts w:cs="Arial"/>
          <w:color w:val="000000" w:themeColor="text1"/>
        </w:rPr>
        <w:t xml:space="preserve"> </w:t>
      </w:r>
      <w:r w:rsidRPr="004451CE">
        <w:rPr>
          <w:rFonts w:cs="Arial"/>
          <w:color w:val="000000" w:themeColor="text1"/>
        </w:rPr>
        <w:t xml:space="preserve">the </w:t>
      </w:r>
      <w:r w:rsidR="004451CE" w:rsidRPr="004451CE">
        <w:rPr>
          <w:rFonts w:cs="Arial"/>
          <w:color w:val="000000" w:themeColor="text1"/>
        </w:rPr>
        <w:t>C</w:t>
      </w:r>
      <w:r w:rsidR="00886472" w:rsidRPr="004451CE">
        <w:rPr>
          <w:rFonts w:cs="Arial"/>
          <w:color w:val="000000" w:themeColor="text1"/>
        </w:rPr>
        <w:t xml:space="preserve">ounty </w:t>
      </w:r>
      <w:r w:rsidR="004451CE" w:rsidRPr="004451CE">
        <w:rPr>
          <w:rFonts w:cs="Arial"/>
          <w:color w:val="000000" w:themeColor="text1"/>
        </w:rPr>
        <w:t>C</w:t>
      </w:r>
      <w:r w:rsidR="006F0B90" w:rsidRPr="004451CE">
        <w:rPr>
          <w:rFonts w:cs="Arial"/>
          <w:color w:val="000000" w:themeColor="text1"/>
        </w:rPr>
        <w:t>ouncil completed the annual self-assessment questionnaire and</w:t>
      </w:r>
      <w:r w:rsidR="00F57FC7" w:rsidRPr="004451CE">
        <w:rPr>
          <w:rFonts w:cs="Arial"/>
          <w:color w:val="000000" w:themeColor="text1"/>
        </w:rPr>
        <w:t xml:space="preserve"> </w:t>
      </w:r>
      <w:r w:rsidR="005136E3" w:rsidRPr="004451CE">
        <w:rPr>
          <w:rFonts w:cs="Arial"/>
          <w:color w:val="000000" w:themeColor="text1"/>
        </w:rPr>
        <w:t>assessed it</w:t>
      </w:r>
      <w:r w:rsidR="00F42F62" w:rsidRPr="004451CE">
        <w:rPr>
          <w:rFonts w:cs="Arial"/>
          <w:color w:val="000000" w:themeColor="text1"/>
        </w:rPr>
        <w:t>s</w:t>
      </w:r>
      <w:r w:rsidR="005136E3" w:rsidRPr="004451CE">
        <w:rPr>
          <w:rFonts w:cs="Arial"/>
          <w:color w:val="000000" w:themeColor="text1"/>
        </w:rPr>
        <w:t xml:space="preserve"> performance a</w:t>
      </w:r>
      <w:r w:rsidR="006F0B90" w:rsidRPr="004451CE">
        <w:rPr>
          <w:rFonts w:cs="Arial"/>
          <w:color w:val="000000" w:themeColor="text1"/>
        </w:rPr>
        <w:t xml:space="preserve">gainst Department for Transport (DfT) criteria.  </w:t>
      </w:r>
      <w:r w:rsidR="005136E3" w:rsidRPr="004451CE">
        <w:rPr>
          <w:rFonts w:cs="Arial"/>
          <w:color w:val="000000" w:themeColor="text1"/>
        </w:rPr>
        <w:t>As a result of th</w:t>
      </w:r>
      <w:r w:rsidR="006F0B90" w:rsidRPr="004451CE">
        <w:rPr>
          <w:rFonts w:cs="Arial"/>
          <w:color w:val="000000" w:themeColor="text1"/>
        </w:rPr>
        <w:t>is exercise</w:t>
      </w:r>
      <w:r w:rsidR="005136E3" w:rsidRPr="004451CE">
        <w:rPr>
          <w:rFonts w:cs="Arial"/>
          <w:color w:val="000000" w:themeColor="text1"/>
        </w:rPr>
        <w:t xml:space="preserve">, the </w:t>
      </w:r>
      <w:r w:rsidR="004451CE" w:rsidRPr="004451CE">
        <w:rPr>
          <w:rFonts w:cs="Arial"/>
          <w:color w:val="000000" w:themeColor="text1"/>
        </w:rPr>
        <w:t>C</w:t>
      </w:r>
      <w:r w:rsidR="005136E3" w:rsidRPr="004451CE">
        <w:rPr>
          <w:rFonts w:cs="Arial"/>
          <w:color w:val="000000" w:themeColor="text1"/>
        </w:rPr>
        <w:t xml:space="preserve">ounty </w:t>
      </w:r>
      <w:r w:rsidR="004451CE" w:rsidRPr="004451CE">
        <w:rPr>
          <w:rFonts w:cs="Arial"/>
          <w:color w:val="000000" w:themeColor="text1"/>
        </w:rPr>
        <w:t>C</w:t>
      </w:r>
      <w:r w:rsidR="005136E3" w:rsidRPr="004451CE">
        <w:rPr>
          <w:rFonts w:cs="Arial"/>
          <w:color w:val="000000" w:themeColor="text1"/>
        </w:rPr>
        <w:t xml:space="preserve">ouncil </w:t>
      </w:r>
      <w:r w:rsidR="00B36AB8" w:rsidRPr="004451CE">
        <w:rPr>
          <w:rFonts w:cs="Arial"/>
          <w:color w:val="000000" w:themeColor="text1"/>
        </w:rPr>
        <w:t xml:space="preserve">considered itself to </w:t>
      </w:r>
      <w:r w:rsidR="004451CE" w:rsidRPr="004451CE">
        <w:rPr>
          <w:rFonts w:cs="Arial"/>
          <w:color w:val="000000" w:themeColor="text1"/>
        </w:rPr>
        <w:t xml:space="preserve">still be a </w:t>
      </w:r>
      <w:r w:rsidR="006F0B90" w:rsidRPr="004451CE">
        <w:rPr>
          <w:rFonts w:cs="Arial"/>
          <w:color w:val="000000" w:themeColor="text1"/>
        </w:rPr>
        <w:t>Band 3 authority in terms of Highway Asset</w:t>
      </w:r>
      <w:r w:rsidR="00886472" w:rsidRPr="004451CE">
        <w:rPr>
          <w:rFonts w:cs="Arial"/>
          <w:color w:val="000000" w:themeColor="text1"/>
        </w:rPr>
        <w:t xml:space="preserve"> Management.  As a result, the County C</w:t>
      </w:r>
      <w:r w:rsidR="006F0B90" w:rsidRPr="004451CE">
        <w:rPr>
          <w:rFonts w:cs="Arial"/>
          <w:color w:val="000000" w:themeColor="text1"/>
        </w:rPr>
        <w:t xml:space="preserve">ouncil has received notification </w:t>
      </w:r>
      <w:r w:rsidR="00344E95" w:rsidRPr="004451CE">
        <w:rPr>
          <w:rFonts w:cs="Arial"/>
          <w:color w:val="000000" w:themeColor="text1"/>
        </w:rPr>
        <w:t xml:space="preserve">from the DfT </w:t>
      </w:r>
      <w:r w:rsidR="006F0B90" w:rsidRPr="004451CE">
        <w:rPr>
          <w:rFonts w:cs="Arial"/>
          <w:color w:val="000000" w:themeColor="text1"/>
        </w:rPr>
        <w:t xml:space="preserve">that </w:t>
      </w:r>
      <w:r w:rsidR="00344E95" w:rsidRPr="004451CE">
        <w:rPr>
          <w:rFonts w:cs="Arial"/>
          <w:color w:val="000000" w:themeColor="text1"/>
        </w:rPr>
        <w:t xml:space="preserve">it will receive 100% of its </w:t>
      </w:r>
      <w:r w:rsidR="00B36AB8" w:rsidRPr="004451CE">
        <w:rPr>
          <w:rFonts w:cs="Arial"/>
          <w:color w:val="000000" w:themeColor="text1"/>
        </w:rPr>
        <w:t>2018/19</w:t>
      </w:r>
      <w:r w:rsidR="006F0B90" w:rsidRPr="004451CE">
        <w:rPr>
          <w:rFonts w:cs="Arial"/>
          <w:color w:val="000000" w:themeColor="text1"/>
        </w:rPr>
        <w:t xml:space="preserve"> </w:t>
      </w:r>
      <w:r w:rsidR="000B6DE6" w:rsidRPr="004451CE">
        <w:rPr>
          <w:rFonts w:cs="Arial"/>
          <w:color w:val="000000" w:themeColor="text1"/>
        </w:rPr>
        <w:t>Incentive Fund allocation</w:t>
      </w:r>
      <w:r w:rsidR="004451CE">
        <w:rPr>
          <w:rFonts w:cs="Arial"/>
          <w:color w:val="000000" w:themeColor="text1"/>
        </w:rPr>
        <w:t xml:space="preserve"> </w:t>
      </w:r>
      <w:r w:rsidR="004451CE" w:rsidRPr="005D2668">
        <w:rPr>
          <w:rFonts w:cs="Arial"/>
          <w:color w:val="000000" w:themeColor="text1"/>
        </w:rPr>
        <w:t>(approx</w:t>
      </w:r>
      <w:r w:rsidR="00FD7BAA" w:rsidRPr="005D2668">
        <w:rPr>
          <w:rFonts w:cs="Arial"/>
          <w:color w:val="000000" w:themeColor="text1"/>
        </w:rPr>
        <w:t>.</w:t>
      </w:r>
      <w:r w:rsidR="004451CE" w:rsidRPr="005D2668">
        <w:rPr>
          <w:rFonts w:cs="Arial"/>
          <w:color w:val="000000" w:themeColor="text1"/>
        </w:rPr>
        <w:t xml:space="preserve"> £</w:t>
      </w:r>
      <w:r w:rsidR="005D2668" w:rsidRPr="005D2668">
        <w:rPr>
          <w:rFonts w:eastAsia="Times New Roman" w:cs="Arial"/>
          <w:bCs/>
          <w:color w:val="000000" w:themeColor="text1"/>
          <w:sz w:val="22"/>
          <w:lang w:val="en" w:eastAsia="en-GB"/>
        </w:rPr>
        <w:t>3,867,000</w:t>
      </w:r>
      <w:r w:rsidR="004451CE" w:rsidRPr="005D2668">
        <w:rPr>
          <w:rFonts w:cs="Arial"/>
          <w:color w:val="000000" w:themeColor="text1"/>
        </w:rPr>
        <w:t>).</w:t>
      </w:r>
      <w:r w:rsidR="006F0B90" w:rsidRPr="004451CE">
        <w:rPr>
          <w:rFonts w:cs="Arial"/>
          <w:color w:val="000000" w:themeColor="text1"/>
        </w:rPr>
        <w:t xml:space="preserve">  Authorities in Band 1 or 2 will only receive </w:t>
      </w:r>
      <w:r w:rsidR="00344E95" w:rsidRPr="004451CE">
        <w:rPr>
          <w:rFonts w:cs="Arial"/>
          <w:color w:val="000000" w:themeColor="text1"/>
        </w:rPr>
        <w:t>part of their Incentive Fund allocation.</w:t>
      </w:r>
    </w:p>
    <w:p w:rsidR="00201402" w:rsidRDefault="00201402" w:rsidP="00201402">
      <w:pPr>
        <w:spacing w:after="0"/>
        <w:jc w:val="both"/>
        <w:rPr>
          <w:rFonts w:cs="Arial"/>
          <w:color w:val="000000" w:themeColor="text1"/>
        </w:rPr>
      </w:pPr>
    </w:p>
    <w:p w:rsidR="006815E4" w:rsidRPr="00373E68" w:rsidRDefault="00567C87" w:rsidP="0010034E">
      <w:pPr>
        <w:spacing w:after="0"/>
        <w:jc w:val="both"/>
        <w:rPr>
          <w:rFonts w:cs="Arial"/>
          <w:b/>
          <w:color w:val="000000" w:themeColor="text1"/>
        </w:rPr>
      </w:pPr>
      <w:r w:rsidRPr="00260070">
        <w:rPr>
          <w:rFonts w:cs="Arial"/>
          <w:color w:val="000000" w:themeColor="text1"/>
        </w:rPr>
        <w:t>Over the past 12 months good progress has been made in re</w:t>
      </w:r>
      <w:r w:rsidR="005C1347">
        <w:rPr>
          <w:rFonts w:cs="Arial"/>
          <w:color w:val="000000" w:themeColor="text1"/>
        </w:rPr>
        <w:t xml:space="preserve">spect of the condition of the A, B and C </w:t>
      </w:r>
      <w:r w:rsidRPr="00260070">
        <w:rPr>
          <w:rFonts w:cs="Arial"/>
          <w:color w:val="000000" w:themeColor="text1"/>
        </w:rPr>
        <w:t xml:space="preserve">road networks, which have continue to improve and their condition is now better than they were in 2009.  </w:t>
      </w:r>
      <w:r w:rsidR="00A42115">
        <w:rPr>
          <w:rFonts w:cs="Arial"/>
          <w:color w:val="000000" w:themeColor="text1"/>
        </w:rPr>
        <w:t>T</w:t>
      </w:r>
      <w:r w:rsidRPr="00260070">
        <w:rPr>
          <w:rFonts w:cs="Arial"/>
          <w:color w:val="000000" w:themeColor="text1"/>
        </w:rPr>
        <w:t xml:space="preserve">he condition </w:t>
      </w:r>
      <w:r w:rsidR="005C1347">
        <w:rPr>
          <w:rFonts w:cs="Arial"/>
          <w:color w:val="000000" w:themeColor="text1"/>
        </w:rPr>
        <w:t xml:space="preserve">of our highway and transport assets has </w:t>
      </w:r>
      <w:r w:rsidRPr="00260070">
        <w:rPr>
          <w:rFonts w:cs="Arial"/>
          <w:color w:val="000000" w:themeColor="text1"/>
        </w:rPr>
        <w:t>deteriorated slightly over the past 12 months, which has resulted in the</w:t>
      </w:r>
      <w:r w:rsidR="00A42115">
        <w:rPr>
          <w:rFonts w:cs="Arial"/>
          <w:color w:val="000000" w:themeColor="text1"/>
        </w:rPr>
        <w:t>ir</w:t>
      </w:r>
      <w:r w:rsidRPr="00260070">
        <w:rPr>
          <w:rFonts w:cs="Arial"/>
          <w:color w:val="000000" w:themeColor="text1"/>
        </w:rPr>
        <w:t xml:space="preserve"> overall condition </w:t>
      </w:r>
      <w:r w:rsidR="0010034E" w:rsidRPr="00260070">
        <w:rPr>
          <w:rFonts w:cs="Arial"/>
          <w:color w:val="000000" w:themeColor="text1"/>
        </w:rPr>
        <w:t>fall</w:t>
      </w:r>
      <w:r w:rsidR="003C446A" w:rsidRPr="00260070">
        <w:rPr>
          <w:rFonts w:cs="Arial"/>
          <w:color w:val="000000" w:themeColor="text1"/>
        </w:rPr>
        <w:t xml:space="preserve">ing </w:t>
      </w:r>
      <w:r w:rsidR="00A42115">
        <w:rPr>
          <w:rFonts w:cs="Arial"/>
          <w:color w:val="000000" w:themeColor="text1"/>
        </w:rPr>
        <w:t xml:space="preserve">slightly </w:t>
      </w:r>
      <w:r w:rsidR="003C446A" w:rsidRPr="00260070">
        <w:rPr>
          <w:rFonts w:cs="Arial"/>
          <w:color w:val="000000" w:themeColor="text1"/>
        </w:rPr>
        <w:t xml:space="preserve">from </w:t>
      </w:r>
      <w:r w:rsidR="0010034E" w:rsidRPr="00260070">
        <w:rPr>
          <w:rFonts w:cs="Arial"/>
          <w:color w:val="000000" w:themeColor="text1"/>
        </w:rPr>
        <w:t>2.</w:t>
      </w:r>
      <w:r w:rsidR="004B0AF6">
        <w:rPr>
          <w:rFonts w:cs="Arial"/>
          <w:color w:val="000000" w:themeColor="text1"/>
        </w:rPr>
        <w:t>08</w:t>
      </w:r>
      <w:r w:rsidR="0010034E" w:rsidRPr="00260070">
        <w:rPr>
          <w:rFonts w:cs="Arial"/>
          <w:color w:val="000000" w:themeColor="text1"/>
        </w:rPr>
        <w:t xml:space="preserve"> to 2.</w:t>
      </w:r>
      <w:r w:rsidR="00C13B0A" w:rsidRPr="00260070">
        <w:rPr>
          <w:rFonts w:cs="Arial"/>
          <w:color w:val="000000" w:themeColor="text1"/>
        </w:rPr>
        <w:t>07</w:t>
      </w:r>
      <w:r w:rsidR="003C446A" w:rsidRPr="00260070">
        <w:rPr>
          <w:rFonts w:cs="Arial"/>
          <w:color w:val="000000" w:themeColor="text1"/>
        </w:rPr>
        <w:t xml:space="preserve">.  Whilst this score has fallen, </w:t>
      </w:r>
      <w:r w:rsidR="0010034E" w:rsidRPr="00260070">
        <w:rPr>
          <w:rFonts w:cs="Arial"/>
          <w:color w:val="000000" w:themeColor="text1"/>
        </w:rPr>
        <w:t xml:space="preserve">overall </w:t>
      </w:r>
      <w:r w:rsidR="003C446A" w:rsidRPr="00260070">
        <w:rPr>
          <w:rFonts w:cs="Arial"/>
          <w:color w:val="000000" w:themeColor="text1"/>
        </w:rPr>
        <w:t>our assets are still regarded as being ACCEPTABLE.</w:t>
      </w:r>
    </w:p>
    <w:p w:rsidR="000B6DE6" w:rsidRPr="0072651B" w:rsidRDefault="000B6DE6" w:rsidP="00201402">
      <w:pPr>
        <w:spacing w:after="0"/>
        <w:jc w:val="both"/>
        <w:rPr>
          <w:rFonts w:cs="Arial"/>
          <w:color w:val="000000" w:themeColor="text1"/>
        </w:rPr>
      </w:pPr>
    </w:p>
    <w:p w:rsidR="00276C92" w:rsidRDefault="00276C92" w:rsidP="00201402">
      <w:pPr>
        <w:spacing w:after="0"/>
        <w:jc w:val="both"/>
        <w:rPr>
          <w:rFonts w:cs="Arial"/>
          <w:color w:val="000000" w:themeColor="text1"/>
        </w:rPr>
        <w:sectPr w:rsidR="00276C92" w:rsidSect="00747E19">
          <w:type w:val="continuous"/>
          <w:pgSz w:w="16838" w:h="11906" w:orient="landscape"/>
          <w:pgMar w:top="1134" w:right="1134" w:bottom="1134" w:left="1134" w:header="709" w:footer="709" w:gutter="0"/>
          <w:cols w:num="2" w:space="708"/>
          <w:docGrid w:linePitch="360"/>
        </w:sectPr>
      </w:pPr>
    </w:p>
    <w:p w:rsidR="00265E96" w:rsidRDefault="00276C92" w:rsidP="00201402">
      <w:pPr>
        <w:spacing w:after="0"/>
        <w:jc w:val="both"/>
        <w:rPr>
          <w:rFonts w:cs="Arial"/>
          <w:color w:val="000000" w:themeColor="text1"/>
        </w:rPr>
      </w:pPr>
      <w:r>
        <w:rPr>
          <w:rFonts w:cs="Arial"/>
          <w:color w:val="000000" w:themeColor="text1"/>
        </w:rPr>
        <w:t xml:space="preserve">The </w:t>
      </w:r>
      <w:r w:rsidR="002A17BC">
        <w:rPr>
          <w:rFonts w:cs="Arial"/>
          <w:color w:val="000000" w:themeColor="text1"/>
        </w:rPr>
        <w:t xml:space="preserve">table below sets out the </w:t>
      </w:r>
      <w:r w:rsidR="00E95178">
        <w:rPr>
          <w:rFonts w:cs="Arial"/>
          <w:color w:val="000000" w:themeColor="text1"/>
        </w:rPr>
        <w:t xml:space="preserve">TAMP </w:t>
      </w:r>
      <w:r w:rsidR="00265E96">
        <w:rPr>
          <w:rFonts w:cs="Arial"/>
          <w:color w:val="000000" w:themeColor="text1"/>
        </w:rPr>
        <w:t>Service Standards</w:t>
      </w:r>
      <w:r w:rsidR="00E95178">
        <w:rPr>
          <w:rFonts w:cs="Arial"/>
          <w:color w:val="000000" w:themeColor="text1"/>
        </w:rPr>
        <w:t>,</w:t>
      </w:r>
      <w:r w:rsidR="00265E96">
        <w:rPr>
          <w:rFonts w:cs="Arial"/>
          <w:color w:val="000000" w:themeColor="text1"/>
        </w:rPr>
        <w:t xml:space="preserve"> the 2013 </w:t>
      </w:r>
      <w:r w:rsidR="002A17BC">
        <w:rPr>
          <w:rFonts w:cs="Arial"/>
          <w:color w:val="000000" w:themeColor="text1"/>
        </w:rPr>
        <w:t xml:space="preserve">baseline </w:t>
      </w:r>
      <w:r w:rsidR="00265E96">
        <w:rPr>
          <w:rFonts w:cs="Arial"/>
          <w:color w:val="000000" w:themeColor="text1"/>
        </w:rPr>
        <w:t>condition</w:t>
      </w:r>
      <w:r w:rsidR="00E95178">
        <w:rPr>
          <w:rFonts w:cs="Arial"/>
          <w:color w:val="000000" w:themeColor="text1"/>
        </w:rPr>
        <w:t xml:space="preserve"> data and </w:t>
      </w:r>
      <w:r w:rsidR="00360FC4">
        <w:rPr>
          <w:rFonts w:cs="Arial"/>
          <w:color w:val="000000" w:themeColor="text1"/>
        </w:rPr>
        <w:t xml:space="preserve">subsequent years </w:t>
      </w:r>
      <w:r w:rsidR="002A17BC">
        <w:rPr>
          <w:rFonts w:cs="Arial"/>
          <w:color w:val="000000" w:themeColor="text1"/>
        </w:rPr>
        <w:t xml:space="preserve">condition </w:t>
      </w:r>
      <w:r w:rsidR="00265E96">
        <w:rPr>
          <w:rFonts w:cs="Arial"/>
          <w:color w:val="000000" w:themeColor="text1"/>
        </w:rPr>
        <w:t>data.</w:t>
      </w:r>
    </w:p>
    <w:p w:rsidR="00265E96" w:rsidRPr="00360FC4" w:rsidRDefault="00265E96" w:rsidP="00201402">
      <w:pPr>
        <w:spacing w:after="0"/>
        <w:jc w:val="both"/>
        <w:rPr>
          <w:rFonts w:cs="Arial"/>
          <w:color w:val="000000" w:themeColor="text1"/>
          <w:sz w:val="16"/>
          <w:szCs w:val="16"/>
        </w:rPr>
      </w:pPr>
    </w:p>
    <w:tbl>
      <w:tblPr>
        <w:tblStyle w:val="TableGrid"/>
        <w:tblW w:w="14230" w:type="dxa"/>
        <w:tblInd w:w="108" w:type="dxa"/>
        <w:tblLayout w:type="fixed"/>
        <w:tblLook w:val="04A0" w:firstRow="1" w:lastRow="0" w:firstColumn="1" w:lastColumn="0" w:noHBand="0" w:noVBand="1"/>
      </w:tblPr>
      <w:tblGrid>
        <w:gridCol w:w="454"/>
        <w:gridCol w:w="963"/>
        <w:gridCol w:w="1304"/>
        <w:gridCol w:w="964"/>
        <w:gridCol w:w="1587"/>
        <w:gridCol w:w="1020"/>
        <w:gridCol w:w="1020"/>
        <w:gridCol w:w="1418"/>
        <w:gridCol w:w="1077"/>
        <w:gridCol w:w="1077"/>
        <w:gridCol w:w="1077"/>
        <w:gridCol w:w="1134"/>
        <w:gridCol w:w="1135"/>
      </w:tblGrid>
      <w:tr w:rsidR="004B0AF6" w:rsidTr="00FA1765">
        <w:trPr>
          <w:trHeight w:val="228"/>
        </w:trPr>
        <w:tc>
          <w:tcPr>
            <w:tcW w:w="1417" w:type="dxa"/>
            <w:gridSpan w:val="2"/>
            <w:vMerge w:val="restart"/>
            <w:tcBorders>
              <w:top w:val="single" w:sz="12" w:space="0" w:color="auto"/>
              <w:left w:val="single" w:sz="12" w:space="0" w:color="auto"/>
              <w:right w:val="single" w:sz="12" w:space="0" w:color="auto"/>
            </w:tcBorders>
            <w:shd w:val="clear" w:color="auto" w:fill="auto"/>
            <w:vAlign w:val="center"/>
          </w:tcPr>
          <w:p w:rsidR="004B0AF6" w:rsidRPr="00265E96" w:rsidRDefault="004B0AF6" w:rsidP="00FA1765">
            <w:pPr>
              <w:jc w:val="center"/>
              <w:rPr>
                <w:rFonts w:cs="Arial"/>
                <w:b/>
                <w:color w:val="000000" w:themeColor="text1"/>
                <w:sz w:val="20"/>
                <w:szCs w:val="20"/>
              </w:rPr>
            </w:pPr>
            <w:r w:rsidRPr="00265E96">
              <w:rPr>
                <w:rFonts w:cs="Arial"/>
                <w:b/>
                <w:color w:val="000000" w:themeColor="text1"/>
                <w:sz w:val="20"/>
                <w:szCs w:val="20"/>
              </w:rPr>
              <w:t>Asset Category</w:t>
            </w:r>
          </w:p>
        </w:tc>
        <w:tc>
          <w:tcPr>
            <w:tcW w:w="1304" w:type="dxa"/>
            <w:vMerge w:val="restart"/>
            <w:tcBorders>
              <w:top w:val="single" w:sz="12" w:space="0" w:color="auto"/>
              <w:right w:val="single" w:sz="12" w:space="0" w:color="auto"/>
            </w:tcBorders>
            <w:shd w:val="clear" w:color="auto" w:fill="auto"/>
            <w:vAlign w:val="center"/>
          </w:tcPr>
          <w:p w:rsidR="004B0AF6" w:rsidRPr="00265E96" w:rsidRDefault="004B0AF6" w:rsidP="00FA1765">
            <w:pPr>
              <w:jc w:val="center"/>
              <w:rPr>
                <w:rFonts w:cs="Arial"/>
                <w:b/>
                <w:color w:val="000000" w:themeColor="text1"/>
                <w:sz w:val="20"/>
                <w:szCs w:val="20"/>
              </w:rPr>
            </w:pPr>
            <w:r w:rsidRPr="00265E96">
              <w:rPr>
                <w:rFonts w:cs="Arial"/>
                <w:b/>
                <w:color w:val="000000" w:themeColor="text1"/>
                <w:sz w:val="20"/>
                <w:szCs w:val="20"/>
              </w:rPr>
              <w:t>Measure</w:t>
            </w:r>
          </w:p>
        </w:tc>
        <w:tc>
          <w:tcPr>
            <w:tcW w:w="6009" w:type="dxa"/>
            <w:gridSpan w:val="5"/>
            <w:tcBorders>
              <w:top w:val="single" w:sz="12" w:space="0" w:color="auto"/>
              <w:right w:val="single" w:sz="12" w:space="0" w:color="auto"/>
            </w:tcBorders>
            <w:shd w:val="clear" w:color="auto" w:fill="auto"/>
            <w:vAlign w:val="center"/>
          </w:tcPr>
          <w:p w:rsidR="004B0AF6" w:rsidRPr="00265E96" w:rsidRDefault="004B0AF6" w:rsidP="00FA1765">
            <w:pPr>
              <w:jc w:val="center"/>
              <w:rPr>
                <w:rFonts w:cs="Arial"/>
                <w:b/>
                <w:color w:val="000000" w:themeColor="text1"/>
                <w:sz w:val="20"/>
                <w:szCs w:val="20"/>
              </w:rPr>
            </w:pPr>
            <w:r>
              <w:rPr>
                <w:rFonts w:cs="Arial"/>
                <w:b/>
                <w:color w:val="000000" w:themeColor="text1"/>
                <w:sz w:val="20"/>
                <w:szCs w:val="20"/>
              </w:rPr>
              <w:t>Service Standard</w:t>
            </w:r>
          </w:p>
        </w:tc>
        <w:tc>
          <w:tcPr>
            <w:tcW w:w="5499" w:type="dxa"/>
            <w:gridSpan w:val="5"/>
            <w:tcBorders>
              <w:top w:val="single" w:sz="12" w:space="0" w:color="auto"/>
              <w:right w:val="single" w:sz="12" w:space="0" w:color="auto"/>
            </w:tcBorders>
          </w:tcPr>
          <w:p w:rsidR="004B0AF6" w:rsidRDefault="004B0AF6" w:rsidP="00FA1765">
            <w:pPr>
              <w:jc w:val="center"/>
              <w:rPr>
                <w:rFonts w:cs="Arial"/>
                <w:b/>
                <w:color w:val="000000" w:themeColor="text1"/>
                <w:sz w:val="20"/>
                <w:szCs w:val="20"/>
              </w:rPr>
            </w:pPr>
            <w:r>
              <w:rPr>
                <w:rFonts w:cs="Arial"/>
                <w:b/>
                <w:color w:val="000000" w:themeColor="text1"/>
                <w:sz w:val="20"/>
                <w:szCs w:val="20"/>
              </w:rPr>
              <w:t>Asset Condition</w:t>
            </w:r>
          </w:p>
        </w:tc>
      </w:tr>
      <w:tr w:rsidR="004B0AF6" w:rsidTr="00FA1765">
        <w:trPr>
          <w:trHeight w:val="228"/>
        </w:trPr>
        <w:tc>
          <w:tcPr>
            <w:tcW w:w="1417" w:type="dxa"/>
            <w:gridSpan w:val="2"/>
            <w:vMerge/>
            <w:tcBorders>
              <w:left w:val="single" w:sz="12" w:space="0" w:color="auto"/>
              <w:right w:val="single" w:sz="12" w:space="0" w:color="auto"/>
            </w:tcBorders>
            <w:shd w:val="clear" w:color="auto" w:fill="auto"/>
            <w:vAlign w:val="center"/>
          </w:tcPr>
          <w:p w:rsidR="004B0AF6" w:rsidRPr="00265E96" w:rsidRDefault="004B0AF6" w:rsidP="00FA1765">
            <w:pPr>
              <w:jc w:val="center"/>
              <w:rPr>
                <w:rFonts w:cs="Arial"/>
                <w:b/>
                <w:color w:val="000000" w:themeColor="text1"/>
                <w:sz w:val="20"/>
                <w:szCs w:val="20"/>
              </w:rPr>
            </w:pPr>
          </w:p>
        </w:tc>
        <w:tc>
          <w:tcPr>
            <w:tcW w:w="1304" w:type="dxa"/>
            <w:vMerge/>
            <w:tcBorders>
              <w:right w:val="single" w:sz="12" w:space="0" w:color="auto"/>
            </w:tcBorders>
            <w:shd w:val="clear" w:color="auto" w:fill="auto"/>
            <w:vAlign w:val="center"/>
          </w:tcPr>
          <w:p w:rsidR="004B0AF6" w:rsidRPr="00265E96" w:rsidRDefault="004B0AF6" w:rsidP="00FA1765">
            <w:pPr>
              <w:jc w:val="center"/>
              <w:rPr>
                <w:rFonts w:cs="Arial"/>
                <w:b/>
                <w:color w:val="000000" w:themeColor="text1"/>
                <w:sz w:val="20"/>
                <w:szCs w:val="20"/>
              </w:rPr>
            </w:pPr>
          </w:p>
        </w:tc>
        <w:tc>
          <w:tcPr>
            <w:tcW w:w="964" w:type="dxa"/>
            <w:tcBorders>
              <w:right w:val="single" w:sz="2" w:space="0" w:color="auto"/>
            </w:tcBorders>
            <w:shd w:val="clear" w:color="auto" w:fill="FF0000"/>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POOR</w:t>
            </w:r>
          </w:p>
        </w:tc>
        <w:tc>
          <w:tcPr>
            <w:tcW w:w="1587" w:type="dxa"/>
            <w:tcBorders>
              <w:top w:val="single" w:sz="2" w:space="0" w:color="auto"/>
              <w:left w:val="single" w:sz="2" w:space="0" w:color="auto"/>
              <w:bottom w:val="single" w:sz="2" w:space="0" w:color="auto"/>
              <w:right w:val="single" w:sz="2" w:space="0" w:color="auto"/>
            </w:tcBorders>
            <w:shd w:val="clear" w:color="auto" w:fill="FFC000"/>
          </w:tcPr>
          <w:p w:rsidR="004B0AF6" w:rsidRPr="00265E96" w:rsidRDefault="004B0AF6" w:rsidP="00FA1765">
            <w:pPr>
              <w:jc w:val="center"/>
              <w:rPr>
                <w:rFonts w:cs="Arial"/>
                <w:b/>
                <w:color w:val="000000" w:themeColor="text1"/>
                <w:sz w:val="20"/>
                <w:szCs w:val="20"/>
              </w:rPr>
            </w:pPr>
            <w:r w:rsidRPr="00265E96">
              <w:rPr>
                <w:rFonts w:cs="Arial"/>
                <w:b/>
                <w:color w:val="000000" w:themeColor="text1"/>
                <w:sz w:val="20"/>
                <w:szCs w:val="20"/>
              </w:rPr>
              <w:t>A</w:t>
            </w:r>
            <w:r w:rsidRPr="00CD4905">
              <w:rPr>
                <w:rFonts w:cs="Arial"/>
                <w:b/>
                <w:color w:val="000000" w:themeColor="text1"/>
                <w:sz w:val="20"/>
                <w:szCs w:val="20"/>
                <w:shd w:val="clear" w:color="auto" w:fill="FFC000"/>
              </w:rPr>
              <w:t>CCEPTABLE</w:t>
            </w:r>
          </w:p>
        </w:tc>
        <w:tc>
          <w:tcPr>
            <w:tcW w:w="1020" w:type="dxa"/>
            <w:tcBorders>
              <w:top w:val="single" w:sz="2" w:space="0" w:color="auto"/>
              <w:left w:val="single" w:sz="2" w:space="0" w:color="auto"/>
              <w:bottom w:val="single" w:sz="2" w:space="0" w:color="auto"/>
              <w:right w:val="single" w:sz="2" w:space="0" w:color="auto"/>
            </w:tcBorders>
            <w:shd w:val="clear" w:color="auto" w:fill="FFFF00"/>
          </w:tcPr>
          <w:p w:rsidR="004B0AF6" w:rsidRPr="00265E96" w:rsidRDefault="004B0AF6" w:rsidP="00FA1765">
            <w:pPr>
              <w:jc w:val="center"/>
              <w:rPr>
                <w:rFonts w:cs="Arial"/>
                <w:b/>
                <w:color w:val="000000" w:themeColor="text1"/>
                <w:sz w:val="20"/>
                <w:szCs w:val="20"/>
              </w:rPr>
            </w:pPr>
            <w:r w:rsidRPr="00265E96">
              <w:rPr>
                <w:rFonts w:cs="Arial"/>
                <w:b/>
                <w:color w:val="000000" w:themeColor="text1"/>
                <w:sz w:val="20"/>
                <w:szCs w:val="20"/>
              </w:rPr>
              <w:t>FAIR</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tcPr>
          <w:p w:rsidR="004B0AF6" w:rsidRPr="00265E96" w:rsidRDefault="004B0AF6" w:rsidP="00FA1765">
            <w:pPr>
              <w:jc w:val="center"/>
              <w:rPr>
                <w:rFonts w:cs="Arial"/>
                <w:b/>
                <w:color w:val="000000" w:themeColor="text1"/>
                <w:sz w:val="20"/>
                <w:szCs w:val="20"/>
              </w:rPr>
            </w:pPr>
            <w:r w:rsidRPr="00265E96">
              <w:rPr>
                <w:rFonts w:cs="Arial"/>
                <w:b/>
                <w:color w:val="000000" w:themeColor="text1"/>
                <w:sz w:val="20"/>
                <w:szCs w:val="20"/>
              </w:rPr>
              <w:t>GOOD</w:t>
            </w:r>
          </w:p>
        </w:tc>
        <w:tc>
          <w:tcPr>
            <w:tcW w:w="1418" w:type="dxa"/>
            <w:tcBorders>
              <w:left w:val="single" w:sz="2" w:space="0" w:color="auto"/>
              <w:right w:val="single" w:sz="12" w:space="0" w:color="auto"/>
            </w:tcBorders>
            <w:shd w:val="clear" w:color="auto" w:fill="92D050"/>
          </w:tcPr>
          <w:p w:rsidR="004B0AF6" w:rsidRPr="006273E9" w:rsidRDefault="004B0AF6" w:rsidP="00FA1765">
            <w:pPr>
              <w:jc w:val="center"/>
              <w:rPr>
                <w:rFonts w:cs="Arial"/>
                <w:b/>
                <w:color w:val="000000" w:themeColor="text1"/>
                <w:sz w:val="20"/>
                <w:szCs w:val="20"/>
              </w:rPr>
            </w:pPr>
            <w:r w:rsidRPr="006273E9">
              <w:rPr>
                <w:rFonts w:cs="Arial"/>
                <w:b/>
                <w:color w:val="000000" w:themeColor="text1"/>
                <w:sz w:val="20"/>
                <w:szCs w:val="20"/>
              </w:rPr>
              <w:t>EXCELLENT</w:t>
            </w:r>
          </w:p>
        </w:tc>
        <w:tc>
          <w:tcPr>
            <w:tcW w:w="1077" w:type="dxa"/>
            <w:tcBorders>
              <w:left w:val="single" w:sz="12" w:space="0" w:color="auto"/>
              <w:right w:val="single" w:sz="12" w:space="0" w:color="auto"/>
            </w:tcBorders>
            <w:shd w:val="clear" w:color="auto" w:fill="auto"/>
          </w:tcPr>
          <w:p w:rsidR="004B0AF6" w:rsidRPr="00265E96" w:rsidRDefault="004B0AF6" w:rsidP="00FA1765">
            <w:pPr>
              <w:jc w:val="center"/>
              <w:rPr>
                <w:rFonts w:cs="Arial"/>
                <w:b/>
                <w:color w:val="000000" w:themeColor="text1"/>
                <w:sz w:val="20"/>
                <w:szCs w:val="20"/>
              </w:rPr>
            </w:pPr>
            <w:r>
              <w:rPr>
                <w:rFonts w:cs="Arial"/>
                <w:b/>
                <w:color w:val="000000" w:themeColor="text1"/>
                <w:sz w:val="20"/>
                <w:szCs w:val="20"/>
              </w:rPr>
              <w:t>2013/14</w:t>
            </w:r>
          </w:p>
        </w:tc>
        <w:tc>
          <w:tcPr>
            <w:tcW w:w="1077" w:type="dxa"/>
            <w:tcBorders>
              <w:left w:val="single" w:sz="12" w:space="0" w:color="auto"/>
              <w:right w:val="single" w:sz="12" w:space="0" w:color="auto"/>
            </w:tcBorders>
            <w:shd w:val="clear" w:color="auto" w:fill="auto"/>
          </w:tcPr>
          <w:p w:rsidR="004B0AF6" w:rsidRPr="00265E96" w:rsidRDefault="004B0AF6" w:rsidP="00FA1765">
            <w:pPr>
              <w:jc w:val="center"/>
              <w:rPr>
                <w:rFonts w:cs="Arial"/>
                <w:b/>
                <w:color w:val="000000" w:themeColor="text1"/>
                <w:sz w:val="20"/>
                <w:szCs w:val="20"/>
              </w:rPr>
            </w:pPr>
            <w:r>
              <w:rPr>
                <w:rFonts w:cs="Arial"/>
                <w:b/>
                <w:color w:val="000000" w:themeColor="text1"/>
                <w:sz w:val="20"/>
                <w:szCs w:val="20"/>
              </w:rPr>
              <w:t>2014/15</w:t>
            </w:r>
          </w:p>
        </w:tc>
        <w:tc>
          <w:tcPr>
            <w:tcW w:w="1077" w:type="dxa"/>
            <w:tcBorders>
              <w:left w:val="single" w:sz="12" w:space="0" w:color="auto"/>
              <w:right w:val="single" w:sz="12" w:space="0" w:color="auto"/>
            </w:tcBorders>
            <w:shd w:val="clear" w:color="auto" w:fill="auto"/>
          </w:tcPr>
          <w:p w:rsidR="004B0AF6" w:rsidRPr="00265E96" w:rsidRDefault="004B0AF6" w:rsidP="00FA1765">
            <w:pPr>
              <w:jc w:val="center"/>
              <w:rPr>
                <w:rFonts w:cs="Arial"/>
                <w:b/>
                <w:color w:val="000000" w:themeColor="text1"/>
                <w:sz w:val="20"/>
                <w:szCs w:val="20"/>
              </w:rPr>
            </w:pPr>
            <w:r>
              <w:rPr>
                <w:rFonts w:cs="Arial"/>
                <w:b/>
                <w:color w:val="000000" w:themeColor="text1"/>
                <w:sz w:val="20"/>
                <w:szCs w:val="20"/>
              </w:rPr>
              <w:t>2015/16</w:t>
            </w:r>
          </w:p>
        </w:tc>
        <w:tc>
          <w:tcPr>
            <w:tcW w:w="1134" w:type="dxa"/>
            <w:tcBorders>
              <w:left w:val="single" w:sz="12" w:space="0" w:color="auto"/>
              <w:right w:val="single" w:sz="12" w:space="0" w:color="auto"/>
            </w:tcBorders>
          </w:tcPr>
          <w:p w:rsidR="004B0AF6" w:rsidRDefault="004B0AF6" w:rsidP="00FA1765">
            <w:pPr>
              <w:jc w:val="center"/>
              <w:rPr>
                <w:rFonts w:cs="Arial"/>
                <w:b/>
                <w:color w:val="000000" w:themeColor="text1"/>
                <w:sz w:val="20"/>
                <w:szCs w:val="20"/>
              </w:rPr>
            </w:pPr>
            <w:r>
              <w:rPr>
                <w:rFonts w:cs="Arial"/>
                <w:b/>
                <w:color w:val="000000" w:themeColor="text1"/>
                <w:sz w:val="20"/>
                <w:szCs w:val="20"/>
              </w:rPr>
              <w:t>2016/17</w:t>
            </w:r>
          </w:p>
        </w:tc>
        <w:tc>
          <w:tcPr>
            <w:tcW w:w="1134" w:type="dxa"/>
            <w:tcBorders>
              <w:left w:val="single" w:sz="12" w:space="0" w:color="auto"/>
              <w:right w:val="single" w:sz="12" w:space="0" w:color="auto"/>
            </w:tcBorders>
          </w:tcPr>
          <w:p w:rsidR="004B0AF6" w:rsidRDefault="004B0AF6" w:rsidP="00FA1765">
            <w:pPr>
              <w:jc w:val="center"/>
              <w:rPr>
                <w:rFonts w:cs="Arial"/>
                <w:b/>
                <w:color w:val="000000" w:themeColor="text1"/>
                <w:sz w:val="20"/>
                <w:szCs w:val="20"/>
              </w:rPr>
            </w:pPr>
            <w:r>
              <w:rPr>
                <w:rFonts w:cs="Arial"/>
                <w:b/>
                <w:color w:val="000000" w:themeColor="text1"/>
                <w:sz w:val="20"/>
                <w:szCs w:val="20"/>
              </w:rPr>
              <w:t>2017/18</w:t>
            </w:r>
          </w:p>
        </w:tc>
      </w:tr>
      <w:tr w:rsidR="004B0AF6" w:rsidTr="00FA1765">
        <w:trPr>
          <w:trHeight w:val="227"/>
        </w:trPr>
        <w:tc>
          <w:tcPr>
            <w:tcW w:w="1417" w:type="dxa"/>
            <w:gridSpan w:val="2"/>
            <w:tcBorders>
              <w:left w:val="single" w:sz="12" w:space="0" w:color="auto"/>
              <w:right w:val="single" w:sz="12" w:space="0" w:color="auto"/>
            </w:tcBorders>
            <w:shd w:val="clear" w:color="auto" w:fill="auto"/>
            <w:vAlign w:val="center"/>
          </w:tcPr>
          <w:p w:rsidR="004B0AF6" w:rsidRPr="00265E96" w:rsidRDefault="004B0AF6" w:rsidP="00FA1765">
            <w:pPr>
              <w:jc w:val="center"/>
              <w:rPr>
                <w:rFonts w:cs="Arial"/>
                <w:b/>
                <w:color w:val="000000" w:themeColor="text1"/>
                <w:sz w:val="20"/>
                <w:szCs w:val="20"/>
              </w:rPr>
            </w:pPr>
            <w:r w:rsidRPr="00265E96">
              <w:rPr>
                <w:rFonts w:cs="Arial"/>
                <w:b/>
                <w:color w:val="000000" w:themeColor="text1"/>
                <w:sz w:val="20"/>
                <w:szCs w:val="20"/>
              </w:rPr>
              <w:t>A</w:t>
            </w:r>
            <w:r>
              <w:rPr>
                <w:rFonts w:cs="Arial"/>
                <w:b/>
                <w:color w:val="000000" w:themeColor="text1"/>
                <w:sz w:val="20"/>
                <w:szCs w:val="20"/>
              </w:rPr>
              <w:t xml:space="preserve"> </w:t>
            </w:r>
            <w:r w:rsidRPr="00265E96">
              <w:rPr>
                <w:rFonts w:cs="Arial"/>
                <w:b/>
                <w:color w:val="000000" w:themeColor="text1"/>
                <w:sz w:val="20"/>
                <w:szCs w:val="20"/>
              </w:rPr>
              <w:t>Roads</w:t>
            </w:r>
          </w:p>
        </w:tc>
        <w:tc>
          <w:tcPr>
            <w:tcW w:w="1304" w:type="dxa"/>
            <w:vMerge w:val="restart"/>
            <w:tcBorders>
              <w:right w:val="single" w:sz="12" w:space="0" w:color="auto"/>
            </w:tcBorders>
            <w:shd w:val="clear" w:color="auto" w:fill="auto"/>
            <w:vAlign w:val="center"/>
          </w:tcPr>
          <w:p w:rsidR="004B0AF6" w:rsidRPr="008A28EE" w:rsidRDefault="004B0AF6" w:rsidP="00FA1765">
            <w:pPr>
              <w:jc w:val="center"/>
              <w:rPr>
                <w:rFonts w:cs="Arial"/>
                <w:color w:val="000000" w:themeColor="text1"/>
                <w:sz w:val="18"/>
                <w:szCs w:val="18"/>
              </w:rPr>
            </w:pPr>
            <w:r w:rsidRPr="008266D5">
              <w:rPr>
                <w:rFonts w:cs="Arial"/>
                <w:color w:val="000000" w:themeColor="text1"/>
                <w:sz w:val="18"/>
                <w:szCs w:val="18"/>
              </w:rPr>
              <w:t xml:space="preserve">% RED </w:t>
            </w:r>
            <w:r>
              <w:rPr>
                <w:rFonts w:cs="Arial"/>
                <w:color w:val="000000" w:themeColor="text1"/>
                <w:sz w:val="18"/>
                <w:szCs w:val="18"/>
              </w:rPr>
              <w:t>/</w:t>
            </w:r>
            <w:r w:rsidRPr="008266D5">
              <w:rPr>
                <w:rFonts w:cs="Arial"/>
                <w:color w:val="000000" w:themeColor="text1"/>
                <w:sz w:val="18"/>
                <w:szCs w:val="18"/>
              </w:rPr>
              <w:t xml:space="preserve"> AMBER</w:t>
            </w:r>
          </w:p>
        </w:tc>
        <w:tc>
          <w:tcPr>
            <w:tcW w:w="964" w:type="dxa"/>
            <w:tcBorders>
              <w:right w:val="single" w:sz="2" w:space="0" w:color="auto"/>
            </w:tcBorders>
            <w:shd w:val="clear" w:color="auto" w:fill="FF0000"/>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&gt;25%</w:t>
            </w:r>
          </w:p>
        </w:tc>
        <w:tc>
          <w:tcPr>
            <w:tcW w:w="1587" w:type="dxa"/>
            <w:tcBorders>
              <w:top w:val="single" w:sz="2" w:space="0" w:color="auto"/>
              <w:left w:val="single" w:sz="2" w:space="0" w:color="auto"/>
              <w:bottom w:val="single" w:sz="2" w:space="0" w:color="auto"/>
              <w:right w:val="single" w:sz="2" w:space="0" w:color="auto"/>
            </w:tcBorders>
            <w:shd w:val="clear" w:color="auto" w:fill="FFC000"/>
          </w:tcPr>
          <w:p w:rsidR="004B0AF6" w:rsidRPr="006273E9" w:rsidRDefault="004B0AF6" w:rsidP="00FA1765">
            <w:pPr>
              <w:jc w:val="center"/>
              <w:rPr>
                <w:b/>
                <w:color w:val="000000" w:themeColor="text1"/>
                <w:sz w:val="20"/>
                <w:szCs w:val="20"/>
              </w:rPr>
            </w:pPr>
            <w:r w:rsidRPr="006273E9">
              <w:rPr>
                <w:b/>
                <w:color w:val="000000" w:themeColor="text1"/>
                <w:sz w:val="20"/>
                <w:szCs w:val="20"/>
              </w:rPr>
              <w:t>25</w:t>
            </w:r>
            <w:r>
              <w:rPr>
                <w:b/>
                <w:color w:val="000000" w:themeColor="text1"/>
                <w:sz w:val="20"/>
                <w:szCs w:val="20"/>
              </w:rPr>
              <w:t xml:space="preserve"> - 16%</w:t>
            </w:r>
          </w:p>
        </w:tc>
        <w:tc>
          <w:tcPr>
            <w:tcW w:w="1020" w:type="dxa"/>
            <w:tcBorders>
              <w:top w:val="single" w:sz="2" w:space="0" w:color="auto"/>
              <w:left w:val="single" w:sz="2" w:space="0" w:color="auto"/>
              <w:bottom w:val="single" w:sz="2" w:space="0" w:color="auto"/>
              <w:right w:val="single" w:sz="2" w:space="0" w:color="auto"/>
            </w:tcBorders>
            <w:shd w:val="clear" w:color="auto" w:fill="FFFF00"/>
          </w:tcPr>
          <w:p w:rsidR="004B0AF6" w:rsidRPr="006273E9" w:rsidRDefault="004B0AF6" w:rsidP="00FA1765">
            <w:pPr>
              <w:jc w:val="center"/>
              <w:rPr>
                <w:b/>
                <w:color w:val="000000" w:themeColor="text1"/>
                <w:sz w:val="20"/>
                <w:szCs w:val="20"/>
              </w:rPr>
            </w:pPr>
            <w:r w:rsidRPr="006273E9">
              <w:rPr>
                <w:b/>
                <w:color w:val="000000" w:themeColor="text1"/>
                <w:sz w:val="20"/>
                <w:szCs w:val="20"/>
              </w:rPr>
              <w:t>15</w:t>
            </w:r>
            <w:r>
              <w:rPr>
                <w:b/>
                <w:color w:val="000000" w:themeColor="text1"/>
                <w:sz w:val="20"/>
                <w:szCs w:val="20"/>
              </w:rPr>
              <w:t xml:space="preserve"> - 11%</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tcPr>
          <w:p w:rsidR="004B0AF6" w:rsidRPr="006273E9" w:rsidRDefault="004B0AF6" w:rsidP="00FA1765">
            <w:pPr>
              <w:jc w:val="center"/>
              <w:rPr>
                <w:b/>
                <w:color w:val="000000" w:themeColor="text1"/>
                <w:sz w:val="20"/>
                <w:szCs w:val="20"/>
              </w:rPr>
            </w:pPr>
            <w:r w:rsidRPr="006273E9">
              <w:rPr>
                <w:b/>
                <w:color w:val="000000" w:themeColor="text1"/>
                <w:sz w:val="20"/>
                <w:szCs w:val="20"/>
              </w:rPr>
              <w:t>10</w:t>
            </w:r>
            <w:r>
              <w:rPr>
                <w:b/>
                <w:color w:val="000000" w:themeColor="text1"/>
                <w:sz w:val="20"/>
                <w:szCs w:val="20"/>
              </w:rPr>
              <w:t xml:space="preserve"> - 6</w:t>
            </w:r>
            <w:r w:rsidRPr="006273E9">
              <w:rPr>
                <w:b/>
                <w:color w:val="000000" w:themeColor="text1"/>
                <w:sz w:val="20"/>
                <w:szCs w:val="20"/>
              </w:rPr>
              <w:t>%</w:t>
            </w:r>
          </w:p>
        </w:tc>
        <w:tc>
          <w:tcPr>
            <w:tcW w:w="1418" w:type="dxa"/>
            <w:tcBorders>
              <w:left w:val="single" w:sz="2" w:space="0" w:color="auto"/>
              <w:right w:val="single" w:sz="12" w:space="0" w:color="auto"/>
            </w:tcBorders>
            <w:shd w:val="clear" w:color="auto" w:fill="92D050"/>
            <w:vAlign w:val="bottom"/>
          </w:tcPr>
          <w:p w:rsidR="004B0AF6" w:rsidRPr="00A1261F" w:rsidRDefault="004B0AF6" w:rsidP="00FA1765">
            <w:pPr>
              <w:jc w:val="center"/>
              <w:rPr>
                <w:rFonts w:cs="Arial"/>
                <w:b/>
                <w:color w:val="000000" w:themeColor="text1"/>
                <w:sz w:val="22"/>
              </w:rPr>
            </w:pPr>
            <w:r w:rsidRPr="00A1261F">
              <w:rPr>
                <w:rFonts w:cs="Arial"/>
                <w:b/>
                <w:color w:val="000000" w:themeColor="text1"/>
                <w:sz w:val="22"/>
              </w:rPr>
              <w:t>≤5%</w:t>
            </w:r>
          </w:p>
        </w:tc>
        <w:tc>
          <w:tcPr>
            <w:tcW w:w="1077" w:type="dxa"/>
            <w:tcBorders>
              <w:left w:val="single" w:sz="12" w:space="0" w:color="auto"/>
              <w:right w:val="single" w:sz="12" w:space="0" w:color="auto"/>
            </w:tcBorders>
            <w:shd w:val="clear" w:color="auto" w:fill="FFC000"/>
          </w:tcPr>
          <w:p w:rsidR="004B0AF6" w:rsidRPr="00F67ADB" w:rsidRDefault="004B0AF6" w:rsidP="00FA1765">
            <w:pPr>
              <w:jc w:val="center"/>
              <w:rPr>
                <w:b/>
                <w:color w:val="000000" w:themeColor="text1"/>
                <w:sz w:val="20"/>
                <w:szCs w:val="20"/>
              </w:rPr>
            </w:pPr>
            <w:r w:rsidRPr="00F67ADB">
              <w:rPr>
                <w:b/>
                <w:color w:val="000000" w:themeColor="text1"/>
                <w:sz w:val="20"/>
                <w:szCs w:val="20"/>
              </w:rPr>
              <w:t>22.1%</w:t>
            </w:r>
          </w:p>
        </w:tc>
        <w:tc>
          <w:tcPr>
            <w:tcW w:w="1077" w:type="dxa"/>
            <w:tcBorders>
              <w:left w:val="single" w:sz="12" w:space="0" w:color="auto"/>
              <w:right w:val="single" w:sz="12" w:space="0" w:color="auto"/>
            </w:tcBorders>
            <w:shd w:val="clear" w:color="auto" w:fill="FF0000"/>
          </w:tcPr>
          <w:p w:rsidR="004B0AF6" w:rsidRPr="00F67ADB" w:rsidRDefault="004B0AF6" w:rsidP="00FA1765">
            <w:pPr>
              <w:jc w:val="center"/>
              <w:rPr>
                <w:rFonts w:cs="Arial"/>
                <w:b/>
                <w:color w:val="000000" w:themeColor="text1"/>
                <w:sz w:val="20"/>
                <w:szCs w:val="20"/>
              </w:rPr>
            </w:pPr>
            <w:r w:rsidRPr="00F67ADB">
              <w:rPr>
                <w:rFonts w:cs="Arial"/>
                <w:b/>
                <w:color w:val="FFFFFF" w:themeColor="background1"/>
                <w:sz w:val="20"/>
                <w:szCs w:val="20"/>
              </w:rPr>
              <w:t>30.37</w:t>
            </w:r>
            <w:r>
              <w:rPr>
                <w:rFonts w:cs="Arial"/>
                <w:b/>
                <w:color w:val="FFFFFF" w:themeColor="background1"/>
                <w:sz w:val="20"/>
                <w:szCs w:val="20"/>
              </w:rPr>
              <w:t>%</w:t>
            </w:r>
          </w:p>
        </w:tc>
        <w:tc>
          <w:tcPr>
            <w:tcW w:w="1077" w:type="dxa"/>
            <w:tcBorders>
              <w:left w:val="single" w:sz="12" w:space="0" w:color="auto"/>
              <w:right w:val="single" w:sz="12" w:space="0" w:color="auto"/>
            </w:tcBorders>
            <w:shd w:val="clear" w:color="auto" w:fill="FFC000"/>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23.92%</w:t>
            </w:r>
          </w:p>
        </w:tc>
        <w:tc>
          <w:tcPr>
            <w:tcW w:w="1134" w:type="dxa"/>
            <w:tcBorders>
              <w:left w:val="single" w:sz="12" w:space="0" w:color="auto"/>
              <w:right w:val="single" w:sz="12" w:space="0" w:color="auto"/>
            </w:tcBorders>
            <w:shd w:val="clear" w:color="auto" w:fill="FFC000"/>
          </w:tcPr>
          <w:p w:rsidR="004B0AF6" w:rsidRDefault="004B0AF6" w:rsidP="00FA1765">
            <w:pPr>
              <w:jc w:val="center"/>
              <w:rPr>
                <w:rFonts w:cs="Arial"/>
                <w:b/>
                <w:color w:val="000000" w:themeColor="text1"/>
                <w:sz w:val="20"/>
                <w:szCs w:val="20"/>
              </w:rPr>
            </w:pPr>
            <w:r>
              <w:rPr>
                <w:rFonts w:cs="Arial"/>
                <w:b/>
                <w:color w:val="000000" w:themeColor="text1"/>
                <w:sz w:val="20"/>
                <w:szCs w:val="20"/>
              </w:rPr>
              <w:t>23.08%</w:t>
            </w:r>
            <w:r w:rsidRPr="003C446A">
              <w:rPr>
                <w:rFonts w:cs="Arial"/>
                <w:b/>
                <w:color w:val="000000" w:themeColor="text1"/>
                <w:sz w:val="18"/>
                <w:szCs w:val="20"/>
                <w:vertAlign w:val="superscript"/>
              </w:rPr>
              <w:t>6</w:t>
            </w:r>
          </w:p>
        </w:tc>
        <w:tc>
          <w:tcPr>
            <w:tcW w:w="1134" w:type="dxa"/>
            <w:tcBorders>
              <w:left w:val="single" w:sz="12" w:space="0" w:color="auto"/>
              <w:right w:val="single" w:sz="12" w:space="0" w:color="auto"/>
            </w:tcBorders>
            <w:shd w:val="clear" w:color="auto" w:fill="FFC000"/>
          </w:tcPr>
          <w:p w:rsidR="004B0AF6" w:rsidRDefault="004B0AF6" w:rsidP="00FA1765">
            <w:pPr>
              <w:jc w:val="center"/>
              <w:rPr>
                <w:rFonts w:cs="Arial"/>
                <w:b/>
                <w:color w:val="000000" w:themeColor="text1"/>
                <w:sz w:val="20"/>
                <w:szCs w:val="20"/>
              </w:rPr>
            </w:pPr>
            <w:r>
              <w:rPr>
                <w:rFonts w:cs="Arial"/>
                <w:b/>
                <w:color w:val="000000" w:themeColor="text1"/>
                <w:sz w:val="20"/>
                <w:szCs w:val="20"/>
              </w:rPr>
              <w:t>22.29%</w:t>
            </w:r>
          </w:p>
        </w:tc>
      </w:tr>
      <w:tr w:rsidR="004B0AF6" w:rsidTr="00FA1765">
        <w:tc>
          <w:tcPr>
            <w:tcW w:w="1417" w:type="dxa"/>
            <w:gridSpan w:val="2"/>
            <w:tcBorders>
              <w:left w:val="single" w:sz="12" w:space="0" w:color="auto"/>
              <w:right w:val="single" w:sz="12" w:space="0" w:color="auto"/>
            </w:tcBorders>
            <w:shd w:val="clear" w:color="auto" w:fill="auto"/>
          </w:tcPr>
          <w:p w:rsidR="004B0AF6" w:rsidRDefault="004B0AF6" w:rsidP="00FA1765">
            <w:pPr>
              <w:jc w:val="center"/>
            </w:pPr>
            <w:r w:rsidRPr="00D25C78">
              <w:rPr>
                <w:rFonts w:cs="Arial"/>
                <w:b/>
                <w:color w:val="000000" w:themeColor="text1"/>
                <w:sz w:val="20"/>
                <w:szCs w:val="20"/>
              </w:rPr>
              <w:t>B Roads</w:t>
            </w:r>
          </w:p>
        </w:tc>
        <w:tc>
          <w:tcPr>
            <w:tcW w:w="1304" w:type="dxa"/>
            <w:vMerge/>
            <w:tcBorders>
              <w:right w:val="single" w:sz="12" w:space="0" w:color="auto"/>
            </w:tcBorders>
            <w:shd w:val="clear" w:color="auto" w:fill="FFFF00"/>
            <w:vAlign w:val="center"/>
          </w:tcPr>
          <w:p w:rsidR="004B0AF6" w:rsidRPr="008266D5" w:rsidRDefault="004B0AF6" w:rsidP="00FA1765">
            <w:pPr>
              <w:jc w:val="center"/>
              <w:rPr>
                <w:rFonts w:cs="Arial"/>
                <w:color w:val="000000" w:themeColor="text1"/>
                <w:sz w:val="18"/>
                <w:szCs w:val="18"/>
              </w:rPr>
            </w:pPr>
          </w:p>
        </w:tc>
        <w:tc>
          <w:tcPr>
            <w:tcW w:w="964" w:type="dxa"/>
            <w:tcBorders>
              <w:right w:val="single" w:sz="2" w:space="0" w:color="auto"/>
            </w:tcBorders>
            <w:shd w:val="clear" w:color="auto" w:fill="FF0000"/>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&gt;40%</w:t>
            </w:r>
          </w:p>
        </w:tc>
        <w:tc>
          <w:tcPr>
            <w:tcW w:w="1587" w:type="dxa"/>
            <w:tcBorders>
              <w:top w:val="single" w:sz="2" w:space="0" w:color="auto"/>
              <w:left w:val="single" w:sz="2" w:space="0" w:color="auto"/>
              <w:bottom w:val="single" w:sz="2" w:space="0" w:color="auto"/>
              <w:right w:val="single" w:sz="2" w:space="0" w:color="auto"/>
            </w:tcBorders>
            <w:shd w:val="clear" w:color="auto" w:fill="FFC000"/>
          </w:tcPr>
          <w:p w:rsidR="004B0AF6" w:rsidRPr="006273E9" w:rsidRDefault="004B0AF6" w:rsidP="00FA1765">
            <w:pPr>
              <w:jc w:val="center"/>
              <w:rPr>
                <w:b/>
                <w:color w:val="000000" w:themeColor="text1"/>
                <w:sz w:val="20"/>
                <w:szCs w:val="20"/>
              </w:rPr>
            </w:pPr>
            <w:r w:rsidRPr="006273E9">
              <w:rPr>
                <w:b/>
                <w:color w:val="000000" w:themeColor="text1"/>
                <w:sz w:val="20"/>
                <w:szCs w:val="20"/>
              </w:rPr>
              <w:t>40</w:t>
            </w:r>
            <w:r>
              <w:rPr>
                <w:b/>
                <w:color w:val="000000" w:themeColor="text1"/>
                <w:sz w:val="20"/>
                <w:szCs w:val="20"/>
              </w:rPr>
              <w:t xml:space="preserve"> - 21%</w:t>
            </w:r>
          </w:p>
        </w:tc>
        <w:tc>
          <w:tcPr>
            <w:tcW w:w="1020" w:type="dxa"/>
            <w:tcBorders>
              <w:top w:val="single" w:sz="2" w:space="0" w:color="auto"/>
              <w:left w:val="single" w:sz="2" w:space="0" w:color="auto"/>
              <w:bottom w:val="single" w:sz="2" w:space="0" w:color="auto"/>
              <w:right w:val="single" w:sz="2" w:space="0" w:color="auto"/>
            </w:tcBorders>
            <w:shd w:val="clear" w:color="auto" w:fill="FFFF00"/>
          </w:tcPr>
          <w:p w:rsidR="004B0AF6" w:rsidRPr="006273E9" w:rsidRDefault="004B0AF6" w:rsidP="00FA1765">
            <w:pPr>
              <w:jc w:val="center"/>
              <w:rPr>
                <w:b/>
                <w:color w:val="000000" w:themeColor="text1"/>
                <w:sz w:val="20"/>
                <w:szCs w:val="20"/>
              </w:rPr>
            </w:pPr>
            <w:r w:rsidRPr="006273E9">
              <w:rPr>
                <w:b/>
                <w:color w:val="000000" w:themeColor="text1"/>
                <w:sz w:val="20"/>
                <w:szCs w:val="20"/>
              </w:rPr>
              <w:t>20</w:t>
            </w:r>
            <w:r>
              <w:rPr>
                <w:b/>
                <w:color w:val="000000" w:themeColor="text1"/>
                <w:sz w:val="20"/>
                <w:szCs w:val="20"/>
              </w:rPr>
              <w:t xml:space="preserve"> - 16</w:t>
            </w:r>
            <w:r w:rsidRPr="006273E9">
              <w:rPr>
                <w:b/>
                <w:color w:val="000000" w:themeColor="text1"/>
                <w:sz w:val="20"/>
                <w:szCs w:val="20"/>
              </w:rPr>
              <w:t>%</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tcPr>
          <w:p w:rsidR="004B0AF6" w:rsidRPr="006273E9" w:rsidRDefault="004B0AF6" w:rsidP="00FA1765">
            <w:pPr>
              <w:jc w:val="center"/>
              <w:rPr>
                <w:b/>
                <w:color w:val="000000" w:themeColor="text1"/>
                <w:sz w:val="20"/>
                <w:szCs w:val="20"/>
              </w:rPr>
            </w:pPr>
            <w:r w:rsidRPr="006273E9">
              <w:rPr>
                <w:b/>
                <w:color w:val="000000" w:themeColor="text1"/>
                <w:sz w:val="20"/>
                <w:szCs w:val="20"/>
              </w:rPr>
              <w:t>15</w:t>
            </w:r>
            <w:r>
              <w:rPr>
                <w:b/>
                <w:color w:val="000000" w:themeColor="text1"/>
                <w:sz w:val="20"/>
                <w:szCs w:val="20"/>
              </w:rPr>
              <w:t xml:space="preserve"> - 6</w:t>
            </w:r>
            <w:r w:rsidRPr="006273E9">
              <w:rPr>
                <w:b/>
                <w:color w:val="000000" w:themeColor="text1"/>
                <w:sz w:val="20"/>
                <w:szCs w:val="20"/>
              </w:rPr>
              <w:t>%</w:t>
            </w:r>
          </w:p>
        </w:tc>
        <w:tc>
          <w:tcPr>
            <w:tcW w:w="1418" w:type="dxa"/>
            <w:tcBorders>
              <w:left w:val="single" w:sz="2" w:space="0" w:color="auto"/>
              <w:right w:val="single" w:sz="12" w:space="0" w:color="auto"/>
            </w:tcBorders>
            <w:shd w:val="clear" w:color="auto" w:fill="92D050"/>
            <w:vAlign w:val="bottom"/>
          </w:tcPr>
          <w:p w:rsidR="004B0AF6" w:rsidRPr="00A1261F" w:rsidRDefault="004B0AF6" w:rsidP="00FA1765">
            <w:pPr>
              <w:jc w:val="center"/>
              <w:rPr>
                <w:b/>
                <w:color w:val="000000" w:themeColor="text1"/>
              </w:rPr>
            </w:pPr>
            <w:r w:rsidRPr="00A1261F">
              <w:rPr>
                <w:rFonts w:cs="Arial"/>
                <w:b/>
                <w:color w:val="000000" w:themeColor="text1"/>
                <w:sz w:val="22"/>
              </w:rPr>
              <w:t>≤5%</w:t>
            </w:r>
          </w:p>
        </w:tc>
        <w:tc>
          <w:tcPr>
            <w:tcW w:w="1077" w:type="dxa"/>
            <w:tcBorders>
              <w:left w:val="single" w:sz="12" w:space="0" w:color="auto"/>
              <w:right w:val="single" w:sz="12" w:space="0" w:color="auto"/>
            </w:tcBorders>
            <w:shd w:val="clear" w:color="auto" w:fill="FF0000"/>
          </w:tcPr>
          <w:p w:rsidR="004B0AF6" w:rsidRPr="00F67ADB" w:rsidRDefault="004B0AF6" w:rsidP="00FA1765">
            <w:pPr>
              <w:jc w:val="center"/>
              <w:rPr>
                <w:b/>
                <w:color w:val="000000" w:themeColor="text1"/>
                <w:sz w:val="20"/>
                <w:szCs w:val="20"/>
              </w:rPr>
            </w:pPr>
            <w:r w:rsidRPr="00F67ADB">
              <w:rPr>
                <w:b/>
                <w:color w:val="FFFFFF" w:themeColor="background1"/>
                <w:sz w:val="20"/>
                <w:szCs w:val="20"/>
              </w:rPr>
              <w:t>42.3%</w:t>
            </w:r>
          </w:p>
        </w:tc>
        <w:tc>
          <w:tcPr>
            <w:tcW w:w="1077" w:type="dxa"/>
            <w:tcBorders>
              <w:left w:val="single" w:sz="12" w:space="0" w:color="auto"/>
              <w:right w:val="single" w:sz="12" w:space="0" w:color="auto"/>
            </w:tcBorders>
            <w:shd w:val="clear" w:color="auto" w:fill="FFC000"/>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36.01%</w:t>
            </w:r>
          </w:p>
        </w:tc>
        <w:tc>
          <w:tcPr>
            <w:tcW w:w="1077" w:type="dxa"/>
            <w:tcBorders>
              <w:left w:val="single" w:sz="12" w:space="0" w:color="auto"/>
              <w:right w:val="single" w:sz="12" w:space="0" w:color="auto"/>
            </w:tcBorders>
            <w:shd w:val="clear" w:color="auto" w:fill="FFC000"/>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28.10%</w:t>
            </w:r>
          </w:p>
        </w:tc>
        <w:tc>
          <w:tcPr>
            <w:tcW w:w="1134" w:type="dxa"/>
            <w:tcBorders>
              <w:left w:val="single" w:sz="12" w:space="0" w:color="auto"/>
              <w:right w:val="single" w:sz="12" w:space="0" w:color="auto"/>
            </w:tcBorders>
            <w:shd w:val="clear" w:color="auto" w:fill="FFC000"/>
          </w:tcPr>
          <w:p w:rsidR="004B0AF6" w:rsidRDefault="004B0AF6" w:rsidP="00FA1765">
            <w:pPr>
              <w:jc w:val="center"/>
              <w:rPr>
                <w:rFonts w:cs="Arial"/>
                <w:b/>
                <w:color w:val="000000" w:themeColor="text1"/>
                <w:sz w:val="20"/>
                <w:szCs w:val="20"/>
              </w:rPr>
            </w:pPr>
            <w:r>
              <w:rPr>
                <w:rFonts w:cs="Arial"/>
                <w:b/>
                <w:color w:val="000000" w:themeColor="text1"/>
                <w:sz w:val="20"/>
                <w:szCs w:val="20"/>
              </w:rPr>
              <w:t>26.27%</w:t>
            </w:r>
          </w:p>
        </w:tc>
        <w:tc>
          <w:tcPr>
            <w:tcW w:w="1134" w:type="dxa"/>
            <w:tcBorders>
              <w:left w:val="single" w:sz="12" w:space="0" w:color="auto"/>
              <w:right w:val="single" w:sz="12" w:space="0" w:color="auto"/>
            </w:tcBorders>
            <w:shd w:val="clear" w:color="auto" w:fill="FFC000"/>
          </w:tcPr>
          <w:p w:rsidR="004B0AF6" w:rsidRDefault="004B0AF6" w:rsidP="00FA1765">
            <w:pPr>
              <w:jc w:val="center"/>
              <w:rPr>
                <w:rFonts w:cs="Arial"/>
                <w:b/>
                <w:color w:val="000000" w:themeColor="text1"/>
                <w:sz w:val="20"/>
                <w:szCs w:val="20"/>
              </w:rPr>
            </w:pPr>
            <w:r>
              <w:rPr>
                <w:rFonts w:cs="Arial"/>
                <w:b/>
                <w:color w:val="000000" w:themeColor="text1"/>
                <w:sz w:val="20"/>
                <w:szCs w:val="20"/>
              </w:rPr>
              <w:t>24.65%</w:t>
            </w:r>
          </w:p>
        </w:tc>
      </w:tr>
      <w:tr w:rsidR="004B0AF6" w:rsidTr="00FA1765">
        <w:tc>
          <w:tcPr>
            <w:tcW w:w="1417" w:type="dxa"/>
            <w:gridSpan w:val="2"/>
            <w:tcBorders>
              <w:left w:val="single" w:sz="12" w:space="0" w:color="auto"/>
              <w:right w:val="single" w:sz="12" w:space="0" w:color="auto"/>
            </w:tcBorders>
            <w:shd w:val="clear" w:color="auto" w:fill="auto"/>
          </w:tcPr>
          <w:p w:rsidR="004B0AF6" w:rsidRDefault="004B0AF6" w:rsidP="00FA1765">
            <w:pPr>
              <w:jc w:val="center"/>
            </w:pPr>
            <w:r w:rsidRPr="00D25C78">
              <w:rPr>
                <w:rFonts w:cs="Arial"/>
                <w:b/>
                <w:color w:val="000000" w:themeColor="text1"/>
                <w:sz w:val="20"/>
                <w:szCs w:val="20"/>
              </w:rPr>
              <w:t>C Roads</w:t>
            </w:r>
          </w:p>
        </w:tc>
        <w:tc>
          <w:tcPr>
            <w:tcW w:w="1304" w:type="dxa"/>
            <w:vMerge/>
            <w:tcBorders>
              <w:right w:val="single" w:sz="12" w:space="0" w:color="auto"/>
            </w:tcBorders>
            <w:shd w:val="clear" w:color="auto" w:fill="FFFF00"/>
            <w:vAlign w:val="center"/>
          </w:tcPr>
          <w:p w:rsidR="004B0AF6" w:rsidRPr="008266D5" w:rsidRDefault="004B0AF6" w:rsidP="00FA1765">
            <w:pPr>
              <w:jc w:val="center"/>
              <w:rPr>
                <w:rFonts w:cs="Arial"/>
                <w:b/>
                <w:color w:val="000000" w:themeColor="text1"/>
                <w:sz w:val="18"/>
                <w:szCs w:val="18"/>
              </w:rPr>
            </w:pPr>
          </w:p>
        </w:tc>
        <w:tc>
          <w:tcPr>
            <w:tcW w:w="964" w:type="dxa"/>
            <w:tcBorders>
              <w:right w:val="single" w:sz="2" w:space="0" w:color="auto"/>
            </w:tcBorders>
            <w:shd w:val="clear" w:color="auto" w:fill="FF0000"/>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&gt;50%</w:t>
            </w:r>
          </w:p>
        </w:tc>
        <w:tc>
          <w:tcPr>
            <w:tcW w:w="1587" w:type="dxa"/>
            <w:tcBorders>
              <w:top w:val="single" w:sz="2" w:space="0" w:color="auto"/>
              <w:left w:val="single" w:sz="2" w:space="0" w:color="auto"/>
              <w:bottom w:val="single" w:sz="2" w:space="0" w:color="auto"/>
              <w:right w:val="single" w:sz="2" w:space="0" w:color="auto"/>
            </w:tcBorders>
            <w:shd w:val="clear" w:color="auto" w:fill="FFC000"/>
          </w:tcPr>
          <w:p w:rsidR="004B0AF6" w:rsidRPr="006273E9" w:rsidRDefault="004B0AF6" w:rsidP="00FA1765">
            <w:pPr>
              <w:jc w:val="center"/>
              <w:rPr>
                <w:b/>
                <w:sz w:val="20"/>
                <w:szCs w:val="20"/>
              </w:rPr>
            </w:pPr>
            <w:r w:rsidRPr="006273E9">
              <w:rPr>
                <w:b/>
                <w:color w:val="000000" w:themeColor="text1"/>
                <w:sz w:val="20"/>
                <w:szCs w:val="20"/>
              </w:rPr>
              <w:t>50</w:t>
            </w:r>
            <w:r>
              <w:rPr>
                <w:b/>
                <w:color w:val="000000" w:themeColor="text1"/>
                <w:sz w:val="20"/>
                <w:szCs w:val="20"/>
              </w:rPr>
              <w:t xml:space="preserve"> - 31%</w:t>
            </w:r>
          </w:p>
        </w:tc>
        <w:tc>
          <w:tcPr>
            <w:tcW w:w="1020" w:type="dxa"/>
            <w:tcBorders>
              <w:top w:val="single" w:sz="2" w:space="0" w:color="auto"/>
              <w:left w:val="single" w:sz="2" w:space="0" w:color="auto"/>
              <w:bottom w:val="single" w:sz="2" w:space="0" w:color="auto"/>
              <w:right w:val="single" w:sz="2" w:space="0" w:color="auto"/>
            </w:tcBorders>
            <w:shd w:val="clear" w:color="auto" w:fill="FFFF00"/>
          </w:tcPr>
          <w:p w:rsidR="004B0AF6" w:rsidRPr="006273E9" w:rsidRDefault="004B0AF6" w:rsidP="00FA1765">
            <w:pPr>
              <w:jc w:val="center"/>
              <w:rPr>
                <w:b/>
                <w:sz w:val="20"/>
                <w:szCs w:val="20"/>
              </w:rPr>
            </w:pPr>
            <w:r w:rsidRPr="006273E9">
              <w:rPr>
                <w:b/>
                <w:color w:val="000000" w:themeColor="text1"/>
                <w:sz w:val="20"/>
                <w:szCs w:val="20"/>
              </w:rPr>
              <w:t>30</w:t>
            </w:r>
            <w:r>
              <w:rPr>
                <w:b/>
                <w:color w:val="000000" w:themeColor="text1"/>
                <w:sz w:val="20"/>
                <w:szCs w:val="20"/>
              </w:rPr>
              <w:t xml:space="preserve"> - 21</w:t>
            </w:r>
            <w:r w:rsidRPr="006273E9">
              <w:rPr>
                <w:b/>
                <w:color w:val="000000" w:themeColor="text1"/>
                <w:sz w:val="20"/>
                <w:szCs w:val="20"/>
              </w:rPr>
              <w:t>%</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tcPr>
          <w:p w:rsidR="004B0AF6" w:rsidRPr="006273E9" w:rsidRDefault="004B0AF6" w:rsidP="00FA1765">
            <w:pPr>
              <w:jc w:val="center"/>
              <w:rPr>
                <w:b/>
                <w:sz w:val="20"/>
                <w:szCs w:val="20"/>
              </w:rPr>
            </w:pPr>
            <w:r w:rsidRPr="006273E9">
              <w:rPr>
                <w:b/>
                <w:color w:val="000000" w:themeColor="text1"/>
                <w:sz w:val="20"/>
                <w:szCs w:val="20"/>
              </w:rPr>
              <w:t>20</w:t>
            </w:r>
            <w:r>
              <w:rPr>
                <w:b/>
                <w:color w:val="000000" w:themeColor="text1"/>
                <w:sz w:val="20"/>
                <w:szCs w:val="20"/>
              </w:rPr>
              <w:t xml:space="preserve"> - 11</w:t>
            </w:r>
            <w:r w:rsidRPr="006273E9">
              <w:rPr>
                <w:b/>
                <w:color w:val="000000" w:themeColor="text1"/>
                <w:sz w:val="20"/>
                <w:szCs w:val="20"/>
              </w:rPr>
              <w:t>%</w:t>
            </w:r>
          </w:p>
        </w:tc>
        <w:tc>
          <w:tcPr>
            <w:tcW w:w="1418" w:type="dxa"/>
            <w:tcBorders>
              <w:left w:val="single" w:sz="2" w:space="0" w:color="auto"/>
              <w:right w:val="single" w:sz="12" w:space="0" w:color="auto"/>
            </w:tcBorders>
            <w:shd w:val="clear" w:color="auto" w:fill="92D050"/>
            <w:vAlign w:val="bottom"/>
          </w:tcPr>
          <w:p w:rsidR="004B0AF6" w:rsidRPr="00A1261F" w:rsidRDefault="004B0AF6" w:rsidP="00FA1765">
            <w:pPr>
              <w:jc w:val="center"/>
              <w:rPr>
                <w:b/>
                <w:color w:val="000000" w:themeColor="text1"/>
              </w:rPr>
            </w:pPr>
            <w:r w:rsidRPr="00A1261F">
              <w:rPr>
                <w:rFonts w:cs="Arial"/>
                <w:b/>
                <w:color w:val="000000" w:themeColor="text1"/>
                <w:sz w:val="22"/>
              </w:rPr>
              <w:t>≤10%</w:t>
            </w:r>
          </w:p>
        </w:tc>
        <w:tc>
          <w:tcPr>
            <w:tcW w:w="1077" w:type="dxa"/>
            <w:tcBorders>
              <w:left w:val="single" w:sz="12" w:space="0" w:color="auto"/>
              <w:right w:val="single" w:sz="12" w:space="0" w:color="auto"/>
            </w:tcBorders>
            <w:shd w:val="clear" w:color="auto" w:fill="FFC000"/>
          </w:tcPr>
          <w:p w:rsidR="004B0AF6" w:rsidRPr="00F67ADB" w:rsidRDefault="004B0AF6" w:rsidP="00FA1765">
            <w:pPr>
              <w:jc w:val="center"/>
              <w:rPr>
                <w:b/>
                <w:color w:val="000000" w:themeColor="text1"/>
                <w:sz w:val="20"/>
                <w:szCs w:val="20"/>
              </w:rPr>
            </w:pPr>
            <w:r w:rsidRPr="00F67ADB">
              <w:rPr>
                <w:b/>
                <w:color w:val="000000" w:themeColor="text1"/>
                <w:sz w:val="20"/>
                <w:szCs w:val="20"/>
              </w:rPr>
              <w:t>48.7%</w:t>
            </w:r>
          </w:p>
        </w:tc>
        <w:tc>
          <w:tcPr>
            <w:tcW w:w="1077" w:type="dxa"/>
            <w:tcBorders>
              <w:left w:val="single" w:sz="12" w:space="0" w:color="auto"/>
              <w:right w:val="single" w:sz="12" w:space="0" w:color="auto"/>
            </w:tcBorders>
            <w:shd w:val="clear" w:color="auto" w:fill="FFC000"/>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38.59%</w:t>
            </w:r>
          </w:p>
        </w:tc>
        <w:tc>
          <w:tcPr>
            <w:tcW w:w="1077" w:type="dxa"/>
            <w:tcBorders>
              <w:left w:val="single" w:sz="12" w:space="0" w:color="auto"/>
              <w:right w:val="single" w:sz="12" w:space="0" w:color="auto"/>
            </w:tcBorders>
            <w:shd w:val="clear" w:color="auto" w:fill="FFFF00"/>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30.62%</w:t>
            </w:r>
          </w:p>
        </w:tc>
        <w:tc>
          <w:tcPr>
            <w:tcW w:w="1134" w:type="dxa"/>
            <w:tcBorders>
              <w:left w:val="single" w:sz="12" w:space="0" w:color="auto"/>
              <w:right w:val="single" w:sz="12" w:space="0" w:color="auto"/>
            </w:tcBorders>
            <w:shd w:val="clear" w:color="auto" w:fill="FFC000"/>
          </w:tcPr>
          <w:p w:rsidR="004B0AF6" w:rsidRDefault="004B0AF6" w:rsidP="00FA1765">
            <w:pPr>
              <w:jc w:val="center"/>
              <w:rPr>
                <w:rFonts w:cs="Arial"/>
                <w:b/>
                <w:color w:val="000000" w:themeColor="text1"/>
                <w:sz w:val="20"/>
                <w:szCs w:val="20"/>
              </w:rPr>
            </w:pPr>
            <w:r>
              <w:rPr>
                <w:rFonts w:cs="Arial"/>
                <w:b/>
                <w:color w:val="000000" w:themeColor="text1"/>
                <w:sz w:val="20"/>
                <w:szCs w:val="20"/>
              </w:rPr>
              <w:t>34.26%</w:t>
            </w:r>
            <w:r w:rsidRPr="004B0AF6">
              <w:rPr>
                <w:rFonts w:cs="Arial"/>
                <w:b/>
                <w:color w:val="000000" w:themeColor="text1"/>
                <w:sz w:val="20"/>
                <w:szCs w:val="20"/>
                <w:vertAlign w:val="superscript"/>
              </w:rPr>
              <w:t>6</w:t>
            </w:r>
          </w:p>
        </w:tc>
        <w:tc>
          <w:tcPr>
            <w:tcW w:w="1134" w:type="dxa"/>
            <w:tcBorders>
              <w:left w:val="single" w:sz="12" w:space="0" w:color="auto"/>
              <w:right w:val="single" w:sz="12" w:space="0" w:color="auto"/>
            </w:tcBorders>
            <w:shd w:val="clear" w:color="auto" w:fill="FFC000"/>
          </w:tcPr>
          <w:p w:rsidR="004B0AF6" w:rsidRDefault="004B0AF6" w:rsidP="00FA1765">
            <w:pPr>
              <w:jc w:val="center"/>
              <w:rPr>
                <w:rFonts w:cs="Arial"/>
                <w:b/>
                <w:color w:val="000000" w:themeColor="text1"/>
                <w:sz w:val="20"/>
                <w:szCs w:val="20"/>
              </w:rPr>
            </w:pPr>
            <w:r>
              <w:rPr>
                <w:rFonts w:cs="Arial"/>
                <w:b/>
                <w:color w:val="000000" w:themeColor="text1"/>
                <w:sz w:val="20"/>
                <w:szCs w:val="20"/>
              </w:rPr>
              <w:t>32.04%</w:t>
            </w:r>
          </w:p>
        </w:tc>
      </w:tr>
      <w:tr w:rsidR="004B0AF6" w:rsidTr="00FA1765">
        <w:tc>
          <w:tcPr>
            <w:tcW w:w="1417" w:type="dxa"/>
            <w:gridSpan w:val="2"/>
            <w:tcBorders>
              <w:left w:val="single" w:sz="12" w:space="0" w:color="auto"/>
              <w:right w:val="single" w:sz="12" w:space="0" w:color="auto"/>
            </w:tcBorders>
            <w:shd w:val="clear" w:color="auto" w:fill="auto"/>
            <w:vAlign w:val="center"/>
          </w:tcPr>
          <w:p w:rsidR="004B0AF6" w:rsidRPr="00265E96" w:rsidRDefault="004B0AF6" w:rsidP="00FA1765">
            <w:pPr>
              <w:jc w:val="center"/>
              <w:rPr>
                <w:rFonts w:cs="Arial"/>
                <w:color w:val="000000" w:themeColor="text1"/>
                <w:sz w:val="20"/>
                <w:szCs w:val="20"/>
              </w:rPr>
            </w:pPr>
            <w:r w:rsidRPr="00265E96">
              <w:rPr>
                <w:rFonts w:cs="Arial"/>
                <w:b/>
                <w:color w:val="000000" w:themeColor="text1"/>
                <w:sz w:val="20"/>
                <w:szCs w:val="20"/>
              </w:rPr>
              <w:t>Residential Unclass</w:t>
            </w:r>
            <w:r>
              <w:rPr>
                <w:rFonts w:cs="Arial"/>
                <w:b/>
                <w:color w:val="000000" w:themeColor="text1"/>
                <w:sz w:val="20"/>
                <w:szCs w:val="20"/>
              </w:rPr>
              <w:t xml:space="preserve">ified </w:t>
            </w:r>
          </w:p>
        </w:tc>
        <w:tc>
          <w:tcPr>
            <w:tcW w:w="1304" w:type="dxa"/>
            <w:tcBorders>
              <w:right w:val="single" w:sz="12" w:space="0" w:color="auto"/>
            </w:tcBorders>
            <w:shd w:val="clear" w:color="auto" w:fill="auto"/>
            <w:vAlign w:val="center"/>
          </w:tcPr>
          <w:p w:rsidR="004B0AF6" w:rsidRDefault="004B0AF6" w:rsidP="00FA1765">
            <w:pPr>
              <w:jc w:val="center"/>
            </w:pPr>
            <w:r w:rsidRPr="00F57F3D">
              <w:rPr>
                <w:rFonts w:cs="Arial"/>
                <w:color w:val="000000" w:themeColor="text1"/>
                <w:sz w:val="18"/>
                <w:szCs w:val="18"/>
              </w:rPr>
              <w:t xml:space="preserve">% RED </w:t>
            </w:r>
            <w:r>
              <w:rPr>
                <w:rFonts w:cs="Arial"/>
                <w:color w:val="000000" w:themeColor="text1"/>
                <w:sz w:val="18"/>
                <w:szCs w:val="18"/>
              </w:rPr>
              <w:t>/</w:t>
            </w:r>
            <w:r w:rsidRPr="00F57F3D">
              <w:rPr>
                <w:rFonts w:cs="Arial"/>
                <w:color w:val="000000" w:themeColor="text1"/>
                <w:sz w:val="18"/>
                <w:szCs w:val="18"/>
              </w:rPr>
              <w:t xml:space="preserve"> AMBER</w:t>
            </w:r>
          </w:p>
        </w:tc>
        <w:tc>
          <w:tcPr>
            <w:tcW w:w="964" w:type="dxa"/>
            <w:tcBorders>
              <w:right w:val="single" w:sz="2" w:space="0" w:color="auto"/>
            </w:tcBorders>
            <w:shd w:val="clear" w:color="auto" w:fill="FF0000"/>
            <w:vAlign w:val="center"/>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&gt;50%</w:t>
            </w:r>
          </w:p>
        </w:tc>
        <w:tc>
          <w:tcPr>
            <w:tcW w:w="1587" w:type="dxa"/>
            <w:tcBorders>
              <w:top w:val="single" w:sz="2" w:space="0" w:color="auto"/>
              <w:left w:val="single" w:sz="2" w:space="0" w:color="auto"/>
              <w:bottom w:val="single" w:sz="2" w:space="0" w:color="auto"/>
              <w:right w:val="single" w:sz="2" w:space="0" w:color="auto"/>
            </w:tcBorders>
            <w:shd w:val="clear" w:color="auto" w:fill="FFC000"/>
            <w:vAlign w:val="center"/>
          </w:tcPr>
          <w:p w:rsidR="004B0AF6" w:rsidRPr="006273E9" w:rsidRDefault="004B0AF6" w:rsidP="00FA1765">
            <w:pPr>
              <w:jc w:val="center"/>
              <w:rPr>
                <w:b/>
                <w:sz w:val="20"/>
                <w:szCs w:val="20"/>
              </w:rPr>
            </w:pPr>
            <w:r w:rsidRPr="006273E9">
              <w:rPr>
                <w:b/>
                <w:color w:val="000000" w:themeColor="text1"/>
                <w:sz w:val="20"/>
                <w:szCs w:val="20"/>
              </w:rPr>
              <w:t>50</w:t>
            </w:r>
            <w:r>
              <w:rPr>
                <w:b/>
                <w:color w:val="000000" w:themeColor="text1"/>
                <w:sz w:val="20"/>
                <w:szCs w:val="20"/>
              </w:rPr>
              <w:t xml:space="preserve"> - 31%</w:t>
            </w:r>
          </w:p>
        </w:tc>
        <w:tc>
          <w:tcPr>
            <w:tcW w:w="1020" w:type="dxa"/>
            <w:tcBorders>
              <w:top w:val="single" w:sz="2" w:space="0" w:color="auto"/>
              <w:left w:val="single" w:sz="2" w:space="0" w:color="auto"/>
              <w:bottom w:val="single" w:sz="2" w:space="0" w:color="auto"/>
              <w:right w:val="single" w:sz="2" w:space="0" w:color="auto"/>
            </w:tcBorders>
            <w:shd w:val="clear" w:color="auto" w:fill="FFFF00"/>
            <w:vAlign w:val="center"/>
          </w:tcPr>
          <w:p w:rsidR="004B0AF6" w:rsidRPr="006273E9" w:rsidRDefault="004B0AF6" w:rsidP="00FA1765">
            <w:pPr>
              <w:jc w:val="center"/>
              <w:rPr>
                <w:b/>
                <w:sz w:val="20"/>
                <w:szCs w:val="20"/>
              </w:rPr>
            </w:pPr>
            <w:r w:rsidRPr="006273E9">
              <w:rPr>
                <w:b/>
                <w:color w:val="000000" w:themeColor="text1"/>
                <w:sz w:val="20"/>
                <w:szCs w:val="20"/>
              </w:rPr>
              <w:t>30</w:t>
            </w:r>
            <w:r>
              <w:rPr>
                <w:b/>
                <w:color w:val="000000" w:themeColor="text1"/>
                <w:sz w:val="20"/>
                <w:szCs w:val="20"/>
              </w:rPr>
              <w:t xml:space="preserve"> - 21</w:t>
            </w:r>
            <w:r w:rsidRPr="006273E9">
              <w:rPr>
                <w:b/>
                <w:color w:val="000000" w:themeColor="text1"/>
                <w:sz w:val="20"/>
                <w:szCs w:val="20"/>
              </w:rPr>
              <w:t>%</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rsidR="004B0AF6" w:rsidRPr="006273E9" w:rsidRDefault="004B0AF6" w:rsidP="00FA1765">
            <w:pPr>
              <w:jc w:val="center"/>
              <w:rPr>
                <w:b/>
                <w:sz w:val="20"/>
                <w:szCs w:val="20"/>
              </w:rPr>
            </w:pPr>
            <w:r w:rsidRPr="006273E9">
              <w:rPr>
                <w:b/>
                <w:color w:val="000000" w:themeColor="text1"/>
                <w:sz w:val="20"/>
                <w:szCs w:val="20"/>
              </w:rPr>
              <w:t>20</w:t>
            </w:r>
            <w:r>
              <w:rPr>
                <w:b/>
                <w:color w:val="000000" w:themeColor="text1"/>
                <w:sz w:val="20"/>
                <w:szCs w:val="20"/>
              </w:rPr>
              <w:t xml:space="preserve"> - 11</w:t>
            </w:r>
            <w:r w:rsidRPr="006273E9">
              <w:rPr>
                <w:b/>
                <w:color w:val="000000" w:themeColor="text1"/>
                <w:sz w:val="20"/>
                <w:szCs w:val="20"/>
              </w:rPr>
              <w:t>%</w:t>
            </w:r>
          </w:p>
        </w:tc>
        <w:tc>
          <w:tcPr>
            <w:tcW w:w="1418" w:type="dxa"/>
            <w:tcBorders>
              <w:left w:val="single" w:sz="2" w:space="0" w:color="auto"/>
              <w:right w:val="single" w:sz="12" w:space="0" w:color="auto"/>
            </w:tcBorders>
            <w:shd w:val="clear" w:color="auto" w:fill="92D050"/>
            <w:vAlign w:val="center"/>
          </w:tcPr>
          <w:p w:rsidR="004B0AF6" w:rsidRPr="00A1261F" w:rsidRDefault="004B0AF6" w:rsidP="00FA1765">
            <w:pPr>
              <w:jc w:val="center"/>
              <w:rPr>
                <w:b/>
                <w:color w:val="000000" w:themeColor="text1"/>
              </w:rPr>
            </w:pPr>
            <w:r w:rsidRPr="00A1261F">
              <w:rPr>
                <w:rFonts w:cs="Arial"/>
                <w:b/>
                <w:color w:val="000000" w:themeColor="text1"/>
                <w:sz w:val="22"/>
              </w:rPr>
              <w:t>≤10%</w:t>
            </w:r>
          </w:p>
        </w:tc>
        <w:tc>
          <w:tcPr>
            <w:tcW w:w="1077" w:type="dxa"/>
            <w:tcBorders>
              <w:left w:val="single" w:sz="12" w:space="0" w:color="auto"/>
              <w:right w:val="single" w:sz="12" w:space="0" w:color="auto"/>
            </w:tcBorders>
            <w:shd w:val="clear" w:color="auto" w:fill="auto"/>
            <w:vAlign w:val="center"/>
          </w:tcPr>
          <w:p w:rsidR="004B0AF6" w:rsidRPr="00434578" w:rsidRDefault="004B0AF6" w:rsidP="00FA1765">
            <w:pPr>
              <w:jc w:val="center"/>
              <w:rPr>
                <w:color w:val="000000" w:themeColor="text1"/>
                <w:sz w:val="20"/>
                <w:szCs w:val="20"/>
              </w:rPr>
            </w:pPr>
            <w:r w:rsidRPr="00434578">
              <w:rPr>
                <w:color w:val="000000" w:themeColor="text1"/>
                <w:sz w:val="20"/>
                <w:szCs w:val="20"/>
              </w:rPr>
              <w:t xml:space="preserve">Not </w:t>
            </w:r>
            <w:r>
              <w:rPr>
                <w:color w:val="000000" w:themeColor="text1"/>
                <w:sz w:val="20"/>
                <w:szCs w:val="20"/>
              </w:rPr>
              <w:t>Collected</w:t>
            </w:r>
          </w:p>
        </w:tc>
        <w:tc>
          <w:tcPr>
            <w:tcW w:w="1077" w:type="dxa"/>
            <w:tcBorders>
              <w:left w:val="single" w:sz="12" w:space="0" w:color="auto"/>
              <w:right w:val="single" w:sz="12" w:space="0" w:color="auto"/>
            </w:tcBorders>
            <w:shd w:val="clear" w:color="auto" w:fill="auto"/>
            <w:vAlign w:val="center"/>
          </w:tcPr>
          <w:p w:rsidR="004B0AF6" w:rsidRDefault="004B0AF6" w:rsidP="00FA1765">
            <w:pPr>
              <w:jc w:val="center"/>
            </w:pPr>
            <w:r w:rsidRPr="00496017">
              <w:rPr>
                <w:color w:val="000000" w:themeColor="text1"/>
                <w:sz w:val="20"/>
                <w:szCs w:val="20"/>
              </w:rPr>
              <w:t>Not Collecte</w:t>
            </w:r>
            <w:r>
              <w:rPr>
                <w:color w:val="000000" w:themeColor="text1"/>
                <w:sz w:val="20"/>
                <w:szCs w:val="20"/>
              </w:rPr>
              <w:t>d</w:t>
            </w:r>
          </w:p>
        </w:tc>
        <w:tc>
          <w:tcPr>
            <w:tcW w:w="1077" w:type="dxa"/>
            <w:tcBorders>
              <w:left w:val="single" w:sz="12" w:space="0" w:color="auto"/>
              <w:right w:val="single" w:sz="12" w:space="0" w:color="auto"/>
            </w:tcBorders>
            <w:shd w:val="clear" w:color="auto" w:fill="auto"/>
            <w:vAlign w:val="center"/>
          </w:tcPr>
          <w:p w:rsidR="004B0AF6" w:rsidRDefault="004B0AF6" w:rsidP="00FA1765">
            <w:pPr>
              <w:jc w:val="center"/>
            </w:pPr>
            <w:r w:rsidRPr="00496017">
              <w:rPr>
                <w:color w:val="000000" w:themeColor="text1"/>
                <w:sz w:val="20"/>
                <w:szCs w:val="20"/>
              </w:rPr>
              <w:t>Not Collecte</w:t>
            </w:r>
            <w:r>
              <w:rPr>
                <w:color w:val="000000" w:themeColor="text1"/>
                <w:sz w:val="20"/>
                <w:szCs w:val="20"/>
              </w:rPr>
              <w:t>d</w:t>
            </w:r>
          </w:p>
        </w:tc>
        <w:tc>
          <w:tcPr>
            <w:tcW w:w="1134" w:type="dxa"/>
            <w:vMerge w:val="restart"/>
            <w:tcBorders>
              <w:left w:val="single" w:sz="12" w:space="0" w:color="auto"/>
              <w:right w:val="single" w:sz="12" w:space="0" w:color="auto"/>
            </w:tcBorders>
            <w:shd w:val="clear" w:color="auto" w:fill="FF0000"/>
            <w:vAlign w:val="center"/>
          </w:tcPr>
          <w:p w:rsidR="004B0AF6" w:rsidRPr="000221C1" w:rsidRDefault="004B0AF6" w:rsidP="00FA1765">
            <w:pPr>
              <w:jc w:val="center"/>
              <w:rPr>
                <w:color w:val="FFFFFF" w:themeColor="background1"/>
              </w:rPr>
            </w:pPr>
            <w:r w:rsidRPr="000221C1">
              <w:rPr>
                <w:color w:val="FFFFFF" w:themeColor="background1"/>
                <w:sz w:val="20"/>
                <w:szCs w:val="20"/>
              </w:rPr>
              <w:t>Collected being analysed</w:t>
            </w:r>
            <w:r w:rsidRPr="000221C1">
              <w:rPr>
                <w:color w:val="FFFFFF" w:themeColor="background1"/>
                <w:sz w:val="20"/>
                <w:szCs w:val="20"/>
                <w:vertAlign w:val="superscript"/>
              </w:rPr>
              <w:t>1</w:t>
            </w:r>
            <w:r w:rsidRPr="000221C1">
              <w:rPr>
                <w:color w:val="FFFFFF" w:themeColor="background1"/>
                <w:sz w:val="20"/>
                <w:szCs w:val="20"/>
              </w:rPr>
              <w:t xml:space="preserve"> </w:t>
            </w:r>
          </w:p>
        </w:tc>
        <w:tc>
          <w:tcPr>
            <w:tcW w:w="1134" w:type="dxa"/>
            <w:vMerge w:val="restart"/>
            <w:tcBorders>
              <w:left w:val="single" w:sz="12" w:space="0" w:color="auto"/>
              <w:right w:val="single" w:sz="12" w:space="0" w:color="auto"/>
            </w:tcBorders>
            <w:shd w:val="clear" w:color="auto" w:fill="FF0000"/>
            <w:vAlign w:val="center"/>
          </w:tcPr>
          <w:p w:rsidR="004B0AF6" w:rsidRPr="000221C1" w:rsidRDefault="004B0AF6" w:rsidP="00FA1765">
            <w:pPr>
              <w:jc w:val="center"/>
              <w:rPr>
                <w:color w:val="FFFFFF" w:themeColor="background1"/>
              </w:rPr>
            </w:pPr>
            <w:r w:rsidRPr="000221C1">
              <w:rPr>
                <w:color w:val="FFFFFF" w:themeColor="background1"/>
                <w:sz w:val="20"/>
                <w:szCs w:val="20"/>
              </w:rPr>
              <w:t>Collected being analysed</w:t>
            </w:r>
            <w:r w:rsidRPr="000221C1">
              <w:rPr>
                <w:color w:val="FFFFFF" w:themeColor="background1"/>
                <w:sz w:val="20"/>
                <w:szCs w:val="20"/>
                <w:vertAlign w:val="superscript"/>
              </w:rPr>
              <w:t>1</w:t>
            </w:r>
          </w:p>
        </w:tc>
      </w:tr>
      <w:tr w:rsidR="004B0AF6" w:rsidTr="00FA1765">
        <w:tc>
          <w:tcPr>
            <w:tcW w:w="1417" w:type="dxa"/>
            <w:gridSpan w:val="2"/>
            <w:tcBorders>
              <w:left w:val="single" w:sz="12" w:space="0" w:color="auto"/>
              <w:right w:val="single" w:sz="12" w:space="0" w:color="auto"/>
            </w:tcBorders>
            <w:shd w:val="clear" w:color="auto" w:fill="auto"/>
            <w:vAlign w:val="center"/>
          </w:tcPr>
          <w:p w:rsidR="004B0AF6" w:rsidRPr="00265E96" w:rsidRDefault="004B0AF6" w:rsidP="00FA1765">
            <w:pPr>
              <w:jc w:val="center"/>
              <w:rPr>
                <w:rFonts w:cs="Arial"/>
                <w:color w:val="000000" w:themeColor="text1"/>
                <w:sz w:val="20"/>
                <w:szCs w:val="20"/>
              </w:rPr>
            </w:pPr>
            <w:r w:rsidRPr="00265E96">
              <w:rPr>
                <w:rFonts w:cs="Arial"/>
                <w:b/>
                <w:color w:val="000000" w:themeColor="text1"/>
                <w:sz w:val="20"/>
                <w:szCs w:val="20"/>
              </w:rPr>
              <w:t>Rural Unclass</w:t>
            </w:r>
            <w:r>
              <w:rPr>
                <w:rFonts w:cs="Arial"/>
                <w:b/>
                <w:color w:val="000000" w:themeColor="text1"/>
                <w:sz w:val="20"/>
                <w:szCs w:val="20"/>
              </w:rPr>
              <w:t xml:space="preserve">ified </w:t>
            </w:r>
          </w:p>
        </w:tc>
        <w:tc>
          <w:tcPr>
            <w:tcW w:w="1304" w:type="dxa"/>
            <w:tcBorders>
              <w:right w:val="single" w:sz="12" w:space="0" w:color="auto"/>
            </w:tcBorders>
            <w:shd w:val="clear" w:color="auto" w:fill="auto"/>
            <w:vAlign w:val="center"/>
          </w:tcPr>
          <w:p w:rsidR="004B0AF6" w:rsidRDefault="004B0AF6" w:rsidP="00FA1765">
            <w:pPr>
              <w:jc w:val="center"/>
            </w:pPr>
            <w:r w:rsidRPr="00F57F3D">
              <w:rPr>
                <w:rFonts w:cs="Arial"/>
                <w:color w:val="000000" w:themeColor="text1"/>
                <w:sz w:val="18"/>
                <w:szCs w:val="18"/>
              </w:rPr>
              <w:t xml:space="preserve">% RED </w:t>
            </w:r>
            <w:r>
              <w:rPr>
                <w:rFonts w:cs="Arial"/>
                <w:color w:val="000000" w:themeColor="text1"/>
                <w:sz w:val="18"/>
                <w:szCs w:val="18"/>
              </w:rPr>
              <w:t>/</w:t>
            </w:r>
            <w:r w:rsidRPr="00F57F3D">
              <w:rPr>
                <w:rFonts w:cs="Arial"/>
                <w:color w:val="000000" w:themeColor="text1"/>
                <w:sz w:val="18"/>
                <w:szCs w:val="18"/>
              </w:rPr>
              <w:t xml:space="preserve"> AMBER</w:t>
            </w:r>
          </w:p>
        </w:tc>
        <w:tc>
          <w:tcPr>
            <w:tcW w:w="964" w:type="dxa"/>
            <w:tcBorders>
              <w:right w:val="single" w:sz="2" w:space="0" w:color="auto"/>
            </w:tcBorders>
            <w:shd w:val="clear" w:color="auto" w:fill="FF0000"/>
            <w:vAlign w:val="center"/>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&gt;50%</w:t>
            </w:r>
          </w:p>
        </w:tc>
        <w:tc>
          <w:tcPr>
            <w:tcW w:w="1587" w:type="dxa"/>
            <w:tcBorders>
              <w:top w:val="single" w:sz="2" w:space="0" w:color="auto"/>
              <w:left w:val="single" w:sz="2" w:space="0" w:color="auto"/>
              <w:bottom w:val="single" w:sz="2" w:space="0" w:color="auto"/>
              <w:right w:val="single" w:sz="2" w:space="0" w:color="auto"/>
            </w:tcBorders>
            <w:shd w:val="clear" w:color="auto" w:fill="FFC000"/>
            <w:vAlign w:val="center"/>
          </w:tcPr>
          <w:p w:rsidR="004B0AF6" w:rsidRPr="006273E9" w:rsidRDefault="004B0AF6" w:rsidP="00FA1765">
            <w:pPr>
              <w:jc w:val="center"/>
              <w:rPr>
                <w:b/>
                <w:sz w:val="20"/>
                <w:szCs w:val="20"/>
              </w:rPr>
            </w:pPr>
            <w:r w:rsidRPr="006273E9">
              <w:rPr>
                <w:b/>
                <w:color w:val="000000" w:themeColor="text1"/>
                <w:sz w:val="20"/>
                <w:szCs w:val="20"/>
              </w:rPr>
              <w:t>50</w:t>
            </w:r>
            <w:r>
              <w:rPr>
                <w:b/>
                <w:color w:val="000000" w:themeColor="text1"/>
                <w:sz w:val="20"/>
                <w:szCs w:val="20"/>
              </w:rPr>
              <w:t xml:space="preserve"> - 31%</w:t>
            </w:r>
          </w:p>
        </w:tc>
        <w:tc>
          <w:tcPr>
            <w:tcW w:w="1020" w:type="dxa"/>
            <w:tcBorders>
              <w:top w:val="single" w:sz="2" w:space="0" w:color="auto"/>
              <w:left w:val="single" w:sz="2" w:space="0" w:color="auto"/>
              <w:bottom w:val="single" w:sz="2" w:space="0" w:color="auto"/>
              <w:right w:val="single" w:sz="2" w:space="0" w:color="auto"/>
            </w:tcBorders>
            <w:shd w:val="clear" w:color="auto" w:fill="FFFF00"/>
            <w:vAlign w:val="center"/>
          </w:tcPr>
          <w:p w:rsidR="004B0AF6" w:rsidRPr="006273E9" w:rsidRDefault="004B0AF6" w:rsidP="00FA1765">
            <w:pPr>
              <w:jc w:val="center"/>
              <w:rPr>
                <w:b/>
                <w:sz w:val="20"/>
                <w:szCs w:val="20"/>
              </w:rPr>
            </w:pPr>
            <w:r w:rsidRPr="006273E9">
              <w:rPr>
                <w:b/>
                <w:color w:val="000000" w:themeColor="text1"/>
                <w:sz w:val="20"/>
                <w:szCs w:val="20"/>
              </w:rPr>
              <w:t>30</w:t>
            </w:r>
            <w:r>
              <w:rPr>
                <w:b/>
                <w:color w:val="000000" w:themeColor="text1"/>
                <w:sz w:val="20"/>
                <w:szCs w:val="20"/>
              </w:rPr>
              <w:t xml:space="preserve"> - 21</w:t>
            </w:r>
            <w:r w:rsidRPr="006273E9">
              <w:rPr>
                <w:b/>
                <w:color w:val="000000" w:themeColor="text1"/>
                <w:sz w:val="20"/>
                <w:szCs w:val="20"/>
              </w:rPr>
              <w:t>%</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rsidR="004B0AF6" w:rsidRPr="006273E9" w:rsidRDefault="004B0AF6" w:rsidP="00FA1765">
            <w:pPr>
              <w:jc w:val="center"/>
              <w:rPr>
                <w:b/>
                <w:sz w:val="20"/>
                <w:szCs w:val="20"/>
              </w:rPr>
            </w:pPr>
            <w:r w:rsidRPr="006273E9">
              <w:rPr>
                <w:b/>
                <w:color w:val="000000" w:themeColor="text1"/>
                <w:sz w:val="20"/>
                <w:szCs w:val="20"/>
              </w:rPr>
              <w:t>20</w:t>
            </w:r>
            <w:r>
              <w:rPr>
                <w:b/>
                <w:color w:val="000000" w:themeColor="text1"/>
                <w:sz w:val="20"/>
                <w:szCs w:val="20"/>
              </w:rPr>
              <w:t xml:space="preserve"> - 11</w:t>
            </w:r>
            <w:r w:rsidRPr="006273E9">
              <w:rPr>
                <w:b/>
                <w:color w:val="000000" w:themeColor="text1"/>
                <w:sz w:val="20"/>
                <w:szCs w:val="20"/>
              </w:rPr>
              <w:t>%</w:t>
            </w:r>
          </w:p>
        </w:tc>
        <w:tc>
          <w:tcPr>
            <w:tcW w:w="1418" w:type="dxa"/>
            <w:tcBorders>
              <w:left w:val="single" w:sz="2" w:space="0" w:color="auto"/>
              <w:right w:val="single" w:sz="12" w:space="0" w:color="auto"/>
            </w:tcBorders>
            <w:shd w:val="clear" w:color="auto" w:fill="92D050"/>
            <w:vAlign w:val="center"/>
          </w:tcPr>
          <w:p w:rsidR="004B0AF6" w:rsidRPr="00A1261F" w:rsidRDefault="004B0AF6" w:rsidP="00FA1765">
            <w:pPr>
              <w:jc w:val="center"/>
              <w:rPr>
                <w:b/>
                <w:color w:val="000000" w:themeColor="text1"/>
              </w:rPr>
            </w:pPr>
            <w:r w:rsidRPr="00A1261F">
              <w:rPr>
                <w:rFonts w:cs="Arial"/>
                <w:b/>
                <w:color w:val="000000" w:themeColor="text1"/>
                <w:sz w:val="22"/>
              </w:rPr>
              <w:t>≤10%</w:t>
            </w:r>
          </w:p>
        </w:tc>
        <w:tc>
          <w:tcPr>
            <w:tcW w:w="1077" w:type="dxa"/>
            <w:tcBorders>
              <w:left w:val="single" w:sz="12" w:space="0" w:color="auto"/>
              <w:right w:val="single" w:sz="12" w:space="0" w:color="auto"/>
            </w:tcBorders>
            <w:shd w:val="clear" w:color="auto" w:fill="auto"/>
            <w:vAlign w:val="center"/>
          </w:tcPr>
          <w:p w:rsidR="004B0AF6" w:rsidRPr="00434578" w:rsidRDefault="004B0AF6" w:rsidP="00FA1765">
            <w:pPr>
              <w:jc w:val="center"/>
              <w:rPr>
                <w:color w:val="000000" w:themeColor="text1"/>
                <w:sz w:val="20"/>
                <w:szCs w:val="20"/>
              </w:rPr>
            </w:pPr>
            <w:r w:rsidRPr="00434578">
              <w:rPr>
                <w:color w:val="000000" w:themeColor="text1"/>
                <w:sz w:val="20"/>
                <w:szCs w:val="20"/>
              </w:rPr>
              <w:t xml:space="preserve">Not </w:t>
            </w:r>
            <w:r>
              <w:rPr>
                <w:color w:val="000000" w:themeColor="text1"/>
                <w:sz w:val="20"/>
                <w:szCs w:val="20"/>
              </w:rPr>
              <w:t>Collected</w:t>
            </w:r>
          </w:p>
        </w:tc>
        <w:tc>
          <w:tcPr>
            <w:tcW w:w="1077" w:type="dxa"/>
            <w:tcBorders>
              <w:left w:val="single" w:sz="12" w:space="0" w:color="auto"/>
              <w:right w:val="single" w:sz="12" w:space="0" w:color="auto"/>
            </w:tcBorders>
            <w:shd w:val="clear" w:color="auto" w:fill="auto"/>
            <w:vAlign w:val="center"/>
          </w:tcPr>
          <w:p w:rsidR="004B0AF6" w:rsidRDefault="004B0AF6" w:rsidP="00FA1765">
            <w:pPr>
              <w:jc w:val="center"/>
            </w:pPr>
            <w:r w:rsidRPr="00496017">
              <w:rPr>
                <w:color w:val="000000" w:themeColor="text1"/>
                <w:sz w:val="20"/>
                <w:szCs w:val="20"/>
              </w:rPr>
              <w:t>Not Collecte</w:t>
            </w:r>
            <w:r>
              <w:rPr>
                <w:color w:val="000000" w:themeColor="text1"/>
                <w:sz w:val="20"/>
                <w:szCs w:val="20"/>
              </w:rPr>
              <w:t>d</w:t>
            </w:r>
          </w:p>
        </w:tc>
        <w:tc>
          <w:tcPr>
            <w:tcW w:w="1077" w:type="dxa"/>
            <w:tcBorders>
              <w:left w:val="single" w:sz="12" w:space="0" w:color="auto"/>
              <w:right w:val="single" w:sz="12" w:space="0" w:color="auto"/>
            </w:tcBorders>
            <w:shd w:val="clear" w:color="auto" w:fill="auto"/>
            <w:vAlign w:val="center"/>
          </w:tcPr>
          <w:p w:rsidR="004B0AF6" w:rsidRDefault="004B0AF6" w:rsidP="00FA1765">
            <w:pPr>
              <w:jc w:val="center"/>
            </w:pPr>
            <w:r w:rsidRPr="00496017">
              <w:rPr>
                <w:color w:val="000000" w:themeColor="text1"/>
                <w:sz w:val="20"/>
                <w:szCs w:val="20"/>
              </w:rPr>
              <w:t>Not Collecte</w:t>
            </w:r>
            <w:r>
              <w:rPr>
                <w:color w:val="000000" w:themeColor="text1"/>
                <w:sz w:val="20"/>
                <w:szCs w:val="20"/>
              </w:rPr>
              <w:t>d</w:t>
            </w:r>
          </w:p>
        </w:tc>
        <w:tc>
          <w:tcPr>
            <w:tcW w:w="1134" w:type="dxa"/>
            <w:vMerge/>
            <w:tcBorders>
              <w:left w:val="single" w:sz="12" w:space="0" w:color="auto"/>
              <w:right w:val="single" w:sz="12" w:space="0" w:color="auto"/>
            </w:tcBorders>
            <w:shd w:val="clear" w:color="auto" w:fill="FF0000"/>
            <w:vAlign w:val="center"/>
          </w:tcPr>
          <w:p w:rsidR="004B0AF6" w:rsidRPr="000221C1" w:rsidRDefault="004B0AF6" w:rsidP="00FA1765">
            <w:pPr>
              <w:jc w:val="center"/>
              <w:rPr>
                <w:color w:val="FFFFFF" w:themeColor="background1"/>
              </w:rPr>
            </w:pPr>
          </w:p>
        </w:tc>
        <w:tc>
          <w:tcPr>
            <w:tcW w:w="1134" w:type="dxa"/>
            <w:vMerge/>
            <w:tcBorders>
              <w:left w:val="single" w:sz="12" w:space="0" w:color="auto"/>
              <w:right w:val="single" w:sz="12" w:space="0" w:color="auto"/>
            </w:tcBorders>
            <w:shd w:val="clear" w:color="auto" w:fill="FF0000"/>
            <w:vAlign w:val="center"/>
          </w:tcPr>
          <w:p w:rsidR="004B0AF6" w:rsidRPr="000221C1" w:rsidRDefault="004B0AF6" w:rsidP="00FA1765">
            <w:pPr>
              <w:jc w:val="center"/>
              <w:rPr>
                <w:color w:val="FFFFFF" w:themeColor="background1"/>
              </w:rPr>
            </w:pPr>
          </w:p>
        </w:tc>
      </w:tr>
      <w:tr w:rsidR="004B0AF6" w:rsidTr="00FA1765">
        <w:tc>
          <w:tcPr>
            <w:tcW w:w="1417" w:type="dxa"/>
            <w:gridSpan w:val="2"/>
            <w:vMerge w:val="restart"/>
            <w:tcBorders>
              <w:left w:val="single" w:sz="12" w:space="0" w:color="auto"/>
              <w:right w:val="single" w:sz="12" w:space="0" w:color="auto"/>
            </w:tcBorders>
            <w:shd w:val="clear" w:color="auto" w:fill="auto"/>
            <w:vAlign w:val="center"/>
          </w:tcPr>
          <w:p w:rsidR="004B0AF6" w:rsidRPr="00265E96" w:rsidRDefault="004B0AF6" w:rsidP="00FA1765">
            <w:pPr>
              <w:jc w:val="center"/>
              <w:rPr>
                <w:rFonts w:cs="Arial"/>
                <w:b/>
                <w:color w:val="000000" w:themeColor="text1"/>
                <w:sz w:val="20"/>
                <w:szCs w:val="20"/>
              </w:rPr>
            </w:pPr>
            <w:r w:rsidRPr="00265E96">
              <w:rPr>
                <w:rFonts w:cs="Arial"/>
                <w:b/>
                <w:color w:val="000000" w:themeColor="text1"/>
                <w:sz w:val="20"/>
                <w:szCs w:val="20"/>
              </w:rPr>
              <w:t>Footways</w:t>
            </w:r>
          </w:p>
        </w:tc>
        <w:tc>
          <w:tcPr>
            <w:tcW w:w="1304" w:type="dxa"/>
            <w:tcBorders>
              <w:right w:val="single" w:sz="12" w:space="0" w:color="auto"/>
            </w:tcBorders>
            <w:shd w:val="clear" w:color="auto" w:fill="auto"/>
            <w:vAlign w:val="center"/>
          </w:tcPr>
          <w:p w:rsidR="004B0AF6" w:rsidRPr="008266D5" w:rsidRDefault="004B0AF6" w:rsidP="00FA1765">
            <w:pPr>
              <w:jc w:val="center"/>
              <w:rPr>
                <w:rFonts w:cs="Arial"/>
                <w:color w:val="000000" w:themeColor="text1"/>
                <w:sz w:val="18"/>
                <w:szCs w:val="18"/>
              </w:rPr>
            </w:pPr>
            <w:r w:rsidRPr="008266D5">
              <w:rPr>
                <w:rFonts w:cs="Arial"/>
                <w:color w:val="000000" w:themeColor="text1"/>
                <w:sz w:val="18"/>
                <w:szCs w:val="18"/>
              </w:rPr>
              <w:t>N</w:t>
            </w:r>
            <w:r>
              <w:rPr>
                <w:rFonts w:cs="Arial"/>
                <w:color w:val="000000" w:themeColor="text1"/>
                <w:sz w:val="18"/>
                <w:szCs w:val="18"/>
              </w:rPr>
              <w:t xml:space="preserve">o. </w:t>
            </w:r>
            <w:r w:rsidRPr="008266D5">
              <w:rPr>
                <w:rFonts w:cs="Arial"/>
                <w:color w:val="000000" w:themeColor="text1"/>
                <w:sz w:val="18"/>
                <w:szCs w:val="18"/>
              </w:rPr>
              <w:t>defects</w:t>
            </w:r>
          </w:p>
        </w:tc>
        <w:tc>
          <w:tcPr>
            <w:tcW w:w="964" w:type="dxa"/>
            <w:tcBorders>
              <w:right w:val="single" w:sz="2" w:space="0" w:color="auto"/>
            </w:tcBorders>
            <w:shd w:val="clear" w:color="auto" w:fill="FF0000"/>
            <w:vAlign w:val="center"/>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w:t>
            </w:r>
            <w:r>
              <w:rPr>
                <w:rFonts w:cs="Arial"/>
                <w:b/>
                <w:color w:val="FFFFFF" w:themeColor="background1"/>
                <w:sz w:val="20"/>
                <w:szCs w:val="20"/>
              </w:rPr>
              <w:t>5</w:t>
            </w:r>
            <w:r w:rsidRPr="006273E9">
              <w:rPr>
                <w:rFonts w:cs="Arial"/>
                <w:b/>
                <w:color w:val="FFFFFF" w:themeColor="background1"/>
                <w:sz w:val="20"/>
                <w:szCs w:val="20"/>
              </w:rPr>
              <w:t>0,000</w:t>
            </w:r>
          </w:p>
        </w:tc>
        <w:tc>
          <w:tcPr>
            <w:tcW w:w="1587" w:type="dxa"/>
            <w:tcBorders>
              <w:top w:val="single" w:sz="2" w:space="0" w:color="auto"/>
              <w:left w:val="single" w:sz="2" w:space="0" w:color="auto"/>
              <w:bottom w:val="single" w:sz="2" w:space="0" w:color="auto"/>
              <w:right w:val="single" w:sz="2" w:space="0" w:color="auto"/>
            </w:tcBorders>
            <w:shd w:val="clear" w:color="auto" w:fill="FFC000"/>
            <w:vAlign w:val="center"/>
          </w:tcPr>
          <w:p w:rsidR="004B0AF6" w:rsidRPr="006273E9" w:rsidRDefault="004B0AF6" w:rsidP="00FA1765">
            <w:pPr>
              <w:jc w:val="center"/>
              <w:rPr>
                <w:b/>
                <w:color w:val="000000" w:themeColor="text1"/>
                <w:sz w:val="20"/>
                <w:szCs w:val="20"/>
              </w:rPr>
            </w:pPr>
            <w:r>
              <w:rPr>
                <w:b/>
                <w:color w:val="000000" w:themeColor="text1"/>
                <w:sz w:val="20"/>
                <w:szCs w:val="20"/>
              </w:rPr>
              <w:t>50</w:t>
            </w:r>
            <w:r w:rsidRPr="006273E9">
              <w:rPr>
                <w:b/>
                <w:color w:val="000000" w:themeColor="text1"/>
                <w:sz w:val="20"/>
                <w:szCs w:val="20"/>
              </w:rPr>
              <w:t>,000</w:t>
            </w:r>
            <w:r>
              <w:rPr>
                <w:b/>
                <w:color w:val="000000" w:themeColor="text1"/>
                <w:sz w:val="20"/>
                <w:szCs w:val="20"/>
              </w:rPr>
              <w:t xml:space="preserve"> </w:t>
            </w:r>
            <w:r w:rsidRPr="006273E9">
              <w:rPr>
                <w:b/>
                <w:color w:val="000000" w:themeColor="text1"/>
                <w:sz w:val="20"/>
                <w:szCs w:val="20"/>
              </w:rPr>
              <w:t>-</w:t>
            </w:r>
            <w:r>
              <w:rPr>
                <w:b/>
                <w:color w:val="000000" w:themeColor="text1"/>
                <w:sz w:val="20"/>
                <w:szCs w:val="20"/>
              </w:rPr>
              <w:t xml:space="preserve"> 4</w:t>
            </w:r>
            <w:r w:rsidRPr="006273E9">
              <w:rPr>
                <w:b/>
                <w:color w:val="000000" w:themeColor="text1"/>
                <w:sz w:val="20"/>
                <w:szCs w:val="20"/>
              </w:rPr>
              <w:t>0,000</w:t>
            </w:r>
          </w:p>
        </w:tc>
        <w:tc>
          <w:tcPr>
            <w:tcW w:w="1020" w:type="dxa"/>
            <w:tcBorders>
              <w:top w:val="single" w:sz="2" w:space="0" w:color="auto"/>
              <w:left w:val="single" w:sz="2" w:space="0" w:color="auto"/>
              <w:bottom w:val="single" w:sz="2" w:space="0" w:color="auto"/>
              <w:right w:val="single" w:sz="2" w:space="0" w:color="auto"/>
            </w:tcBorders>
            <w:shd w:val="clear" w:color="auto" w:fill="FFFF00"/>
            <w:vAlign w:val="center"/>
          </w:tcPr>
          <w:p w:rsidR="004B0AF6" w:rsidRPr="006273E9" w:rsidRDefault="004B0AF6" w:rsidP="00FA1765">
            <w:pPr>
              <w:jc w:val="center"/>
              <w:rPr>
                <w:b/>
                <w:color w:val="000000" w:themeColor="text1"/>
                <w:sz w:val="20"/>
                <w:szCs w:val="20"/>
              </w:rPr>
            </w:pPr>
            <w:r>
              <w:rPr>
                <w:b/>
                <w:color w:val="000000" w:themeColor="text1"/>
                <w:sz w:val="20"/>
                <w:szCs w:val="20"/>
              </w:rPr>
              <w:t>40</w:t>
            </w:r>
            <w:r w:rsidRPr="006273E9">
              <w:rPr>
                <w:b/>
                <w:color w:val="000000" w:themeColor="text1"/>
                <w:sz w:val="20"/>
                <w:szCs w:val="20"/>
              </w:rPr>
              <w:t>,000</w:t>
            </w:r>
            <w:r>
              <w:rPr>
                <w:b/>
                <w:color w:val="000000" w:themeColor="text1"/>
                <w:sz w:val="20"/>
                <w:szCs w:val="20"/>
              </w:rPr>
              <w:t xml:space="preserve"> </w:t>
            </w:r>
            <w:r w:rsidRPr="006273E9">
              <w:rPr>
                <w:b/>
                <w:color w:val="000000" w:themeColor="text1"/>
                <w:sz w:val="20"/>
                <w:szCs w:val="20"/>
              </w:rPr>
              <w:t>-</w:t>
            </w:r>
            <w:r>
              <w:rPr>
                <w:b/>
                <w:color w:val="000000" w:themeColor="text1"/>
                <w:sz w:val="20"/>
                <w:szCs w:val="20"/>
              </w:rPr>
              <w:t>15</w:t>
            </w:r>
            <w:r w:rsidRPr="006273E9">
              <w:rPr>
                <w:b/>
                <w:color w:val="000000" w:themeColor="text1"/>
                <w:sz w:val="20"/>
                <w:szCs w:val="20"/>
              </w:rPr>
              <w:t>,000</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1</w:t>
            </w:r>
            <w:r>
              <w:rPr>
                <w:b/>
                <w:color w:val="000000" w:themeColor="text1"/>
                <w:sz w:val="20"/>
                <w:szCs w:val="20"/>
              </w:rPr>
              <w:t>5</w:t>
            </w:r>
            <w:r w:rsidRPr="006273E9">
              <w:rPr>
                <w:b/>
                <w:color w:val="000000" w:themeColor="text1"/>
                <w:sz w:val="20"/>
                <w:szCs w:val="20"/>
              </w:rPr>
              <w:t>,000-</w:t>
            </w:r>
            <w:r>
              <w:rPr>
                <w:b/>
                <w:color w:val="000000" w:themeColor="text1"/>
                <w:sz w:val="20"/>
                <w:szCs w:val="20"/>
              </w:rPr>
              <w:t>10</w:t>
            </w:r>
            <w:r w:rsidRPr="006273E9">
              <w:rPr>
                <w:b/>
                <w:color w:val="000000" w:themeColor="text1"/>
                <w:sz w:val="20"/>
                <w:szCs w:val="20"/>
              </w:rPr>
              <w:t>,000</w:t>
            </w:r>
            <w:r>
              <w:rPr>
                <w:b/>
                <w:color w:val="000000" w:themeColor="text1"/>
                <w:sz w:val="20"/>
                <w:szCs w:val="20"/>
              </w:rPr>
              <w:t xml:space="preserve"> </w:t>
            </w:r>
          </w:p>
        </w:tc>
        <w:tc>
          <w:tcPr>
            <w:tcW w:w="1418" w:type="dxa"/>
            <w:tcBorders>
              <w:left w:val="single" w:sz="2" w:space="0" w:color="auto"/>
              <w:right w:val="single" w:sz="12" w:space="0" w:color="auto"/>
            </w:tcBorders>
            <w:shd w:val="clear" w:color="auto" w:fill="92D05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&lt;1</w:t>
            </w:r>
            <w:r>
              <w:rPr>
                <w:b/>
                <w:color w:val="000000" w:themeColor="text1"/>
                <w:sz w:val="20"/>
                <w:szCs w:val="20"/>
              </w:rPr>
              <w:t>0</w:t>
            </w:r>
            <w:r w:rsidRPr="006273E9">
              <w:rPr>
                <w:b/>
                <w:color w:val="000000" w:themeColor="text1"/>
                <w:sz w:val="20"/>
                <w:szCs w:val="20"/>
              </w:rPr>
              <w:t>,000</w:t>
            </w:r>
          </w:p>
        </w:tc>
        <w:tc>
          <w:tcPr>
            <w:tcW w:w="1077" w:type="dxa"/>
            <w:tcBorders>
              <w:left w:val="single" w:sz="12" w:space="0" w:color="auto"/>
              <w:right w:val="single" w:sz="12" w:space="0" w:color="auto"/>
            </w:tcBorders>
            <w:shd w:val="clear" w:color="auto" w:fill="FFC000"/>
            <w:vAlign w:val="center"/>
          </w:tcPr>
          <w:p w:rsidR="004B0AF6" w:rsidRPr="00F67ADB" w:rsidRDefault="004B0AF6" w:rsidP="00FA1765">
            <w:pPr>
              <w:jc w:val="center"/>
              <w:rPr>
                <w:b/>
                <w:color w:val="000000" w:themeColor="text1"/>
                <w:sz w:val="20"/>
                <w:szCs w:val="20"/>
              </w:rPr>
            </w:pPr>
            <w:r w:rsidRPr="00F67ADB">
              <w:rPr>
                <w:b/>
                <w:color w:val="000000" w:themeColor="text1"/>
                <w:sz w:val="20"/>
                <w:szCs w:val="20"/>
              </w:rPr>
              <w:t>51,395</w:t>
            </w:r>
            <w:r w:rsidRPr="00B83ADF">
              <w:rPr>
                <w:b/>
                <w:color w:val="000000" w:themeColor="text1"/>
                <w:sz w:val="20"/>
                <w:szCs w:val="20"/>
                <w:vertAlign w:val="superscript"/>
              </w:rPr>
              <w:t>2</w:t>
            </w:r>
          </w:p>
        </w:tc>
        <w:tc>
          <w:tcPr>
            <w:tcW w:w="1077" w:type="dxa"/>
            <w:tcBorders>
              <w:left w:val="single" w:sz="12" w:space="0" w:color="auto"/>
              <w:right w:val="single" w:sz="12" w:space="0" w:color="auto"/>
            </w:tcBorders>
            <w:shd w:val="clear" w:color="auto" w:fill="C2D69B" w:themeFill="accent3" w:themeFillTint="99"/>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22,171</w:t>
            </w:r>
            <w:r w:rsidRPr="00B83ADF">
              <w:rPr>
                <w:b/>
                <w:color w:val="000000" w:themeColor="text1"/>
                <w:sz w:val="20"/>
                <w:szCs w:val="20"/>
                <w:vertAlign w:val="superscript"/>
              </w:rPr>
              <w:t>2</w:t>
            </w:r>
          </w:p>
        </w:tc>
        <w:tc>
          <w:tcPr>
            <w:tcW w:w="1077" w:type="dxa"/>
            <w:tcBorders>
              <w:left w:val="single" w:sz="12" w:space="0" w:color="auto"/>
              <w:right w:val="single" w:sz="12" w:space="0" w:color="auto"/>
            </w:tcBorders>
            <w:shd w:val="clear" w:color="auto" w:fill="C2D69B" w:themeFill="accent3" w:themeFillTint="99"/>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13,533</w:t>
            </w:r>
            <w:r w:rsidRPr="00B83ADF">
              <w:rPr>
                <w:b/>
                <w:color w:val="000000" w:themeColor="text1"/>
                <w:sz w:val="20"/>
                <w:szCs w:val="20"/>
                <w:vertAlign w:val="superscript"/>
              </w:rPr>
              <w:t>2</w:t>
            </w:r>
          </w:p>
        </w:tc>
        <w:tc>
          <w:tcPr>
            <w:tcW w:w="1134" w:type="dxa"/>
            <w:tcBorders>
              <w:left w:val="single" w:sz="12" w:space="0" w:color="auto"/>
              <w:right w:val="single" w:sz="12" w:space="0" w:color="auto"/>
            </w:tcBorders>
            <w:shd w:val="clear" w:color="auto" w:fill="92D050"/>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13,037</w:t>
            </w:r>
            <w:r w:rsidRPr="00B83ADF">
              <w:rPr>
                <w:b/>
                <w:color w:val="000000" w:themeColor="text1"/>
                <w:sz w:val="20"/>
                <w:szCs w:val="20"/>
                <w:vertAlign w:val="superscript"/>
              </w:rPr>
              <w:t>2</w:t>
            </w:r>
          </w:p>
        </w:tc>
        <w:tc>
          <w:tcPr>
            <w:tcW w:w="1134" w:type="dxa"/>
            <w:tcBorders>
              <w:left w:val="single" w:sz="12" w:space="0" w:color="auto"/>
              <w:right w:val="single" w:sz="12" w:space="0" w:color="auto"/>
            </w:tcBorders>
            <w:shd w:val="clear" w:color="auto" w:fill="92D050"/>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7,142</w:t>
            </w:r>
          </w:p>
        </w:tc>
      </w:tr>
      <w:tr w:rsidR="004B0AF6" w:rsidTr="00FA1765">
        <w:tc>
          <w:tcPr>
            <w:tcW w:w="1417" w:type="dxa"/>
            <w:gridSpan w:val="2"/>
            <w:vMerge/>
            <w:tcBorders>
              <w:left w:val="single" w:sz="12" w:space="0" w:color="auto"/>
              <w:right w:val="single" w:sz="12" w:space="0" w:color="auto"/>
            </w:tcBorders>
            <w:shd w:val="clear" w:color="auto" w:fill="auto"/>
            <w:vAlign w:val="center"/>
          </w:tcPr>
          <w:p w:rsidR="004B0AF6" w:rsidRPr="00265E96" w:rsidRDefault="004B0AF6" w:rsidP="00FA1765">
            <w:pPr>
              <w:jc w:val="center"/>
              <w:rPr>
                <w:rFonts w:cs="Arial"/>
                <w:color w:val="000000" w:themeColor="text1"/>
                <w:sz w:val="20"/>
                <w:szCs w:val="20"/>
              </w:rPr>
            </w:pPr>
          </w:p>
        </w:tc>
        <w:tc>
          <w:tcPr>
            <w:tcW w:w="1304" w:type="dxa"/>
            <w:tcBorders>
              <w:right w:val="single" w:sz="12" w:space="0" w:color="auto"/>
            </w:tcBorders>
            <w:shd w:val="clear" w:color="auto" w:fill="auto"/>
            <w:vAlign w:val="center"/>
          </w:tcPr>
          <w:p w:rsidR="004B0AF6" w:rsidRPr="008266D5" w:rsidRDefault="004B0AF6" w:rsidP="00FA1765">
            <w:pPr>
              <w:jc w:val="center"/>
              <w:rPr>
                <w:rFonts w:cs="Arial"/>
                <w:b/>
                <w:color w:val="000000" w:themeColor="text1"/>
                <w:sz w:val="18"/>
                <w:szCs w:val="18"/>
              </w:rPr>
            </w:pPr>
            <w:r>
              <w:rPr>
                <w:rFonts w:cs="Arial"/>
                <w:color w:val="000000" w:themeColor="text1"/>
                <w:sz w:val="18"/>
                <w:szCs w:val="18"/>
              </w:rPr>
              <w:t>No. claims</w:t>
            </w:r>
          </w:p>
        </w:tc>
        <w:tc>
          <w:tcPr>
            <w:tcW w:w="964" w:type="dxa"/>
            <w:tcBorders>
              <w:right w:val="single" w:sz="2" w:space="0" w:color="auto"/>
            </w:tcBorders>
            <w:shd w:val="clear" w:color="auto" w:fill="FF0000"/>
            <w:vAlign w:val="center"/>
          </w:tcPr>
          <w:p w:rsidR="004B0AF6" w:rsidRPr="006273E9" w:rsidRDefault="004B0AF6" w:rsidP="00FA1765">
            <w:pPr>
              <w:jc w:val="center"/>
              <w:rPr>
                <w:rFonts w:cs="Arial"/>
                <w:b/>
                <w:color w:val="FFFFFF" w:themeColor="background1"/>
                <w:sz w:val="20"/>
                <w:szCs w:val="20"/>
              </w:rPr>
            </w:pPr>
            <w:r>
              <w:rPr>
                <w:rFonts w:cs="Arial"/>
                <w:b/>
                <w:color w:val="FFFFFF" w:themeColor="background1"/>
                <w:sz w:val="20"/>
                <w:szCs w:val="20"/>
              </w:rPr>
              <w:t>&gt;600</w:t>
            </w:r>
          </w:p>
        </w:tc>
        <w:tc>
          <w:tcPr>
            <w:tcW w:w="1587" w:type="dxa"/>
            <w:tcBorders>
              <w:top w:val="single" w:sz="2" w:space="0" w:color="auto"/>
              <w:left w:val="single" w:sz="2" w:space="0" w:color="auto"/>
              <w:bottom w:val="single" w:sz="2" w:space="0" w:color="auto"/>
              <w:right w:val="single" w:sz="2" w:space="0" w:color="auto"/>
            </w:tcBorders>
            <w:shd w:val="clear" w:color="auto" w:fill="FFC000"/>
            <w:vAlign w:val="center"/>
          </w:tcPr>
          <w:p w:rsidR="004B0AF6" w:rsidRPr="006273E9" w:rsidRDefault="004B0AF6" w:rsidP="00FA1765">
            <w:pPr>
              <w:jc w:val="center"/>
              <w:rPr>
                <w:b/>
                <w:color w:val="000000" w:themeColor="text1"/>
                <w:sz w:val="20"/>
                <w:szCs w:val="20"/>
              </w:rPr>
            </w:pPr>
            <w:r>
              <w:rPr>
                <w:b/>
                <w:color w:val="000000" w:themeColor="text1"/>
                <w:sz w:val="20"/>
                <w:szCs w:val="20"/>
              </w:rPr>
              <w:t>500-400</w:t>
            </w:r>
          </w:p>
        </w:tc>
        <w:tc>
          <w:tcPr>
            <w:tcW w:w="1020" w:type="dxa"/>
            <w:tcBorders>
              <w:top w:val="single" w:sz="2" w:space="0" w:color="auto"/>
              <w:left w:val="single" w:sz="2" w:space="0" w:color="auto"/>
              <w:bottom w:val="single" w:sz="2" w:space="0" w:color="auto"/>
              <w:right w:val="single" w:sz="2" w:space="0" w:color="auto"/>
            </w:tcBorders>
            <w:shd w:val="clear" w:color="auto" w:fill="FFFF00"/>
            <w:vAlign w:val="center"/>
          </w:tcPr>
          <w:p w:rsidR="004B0AF6" w:rsidRPr="006273E9" w:rsidRDefault="004B0AF6" w:rsidP="00FA1765">
            <w:pPr>
              <w:jc w:val="center"/>
              <w:rPr>
                <w:b/>
                <w:color w:val="000000" w:themeColor="text1"/>
                <w:sz w:val="20"/>
                <w:szCs w:val="20"/>
              </w:rPr>
            </w:pPr>
            <w:r>
              <w:rPr>
                <w:b/>
                <w:color w:val="000000" w:themeColor="text1"/>
                <w:sz w:val="20"/>
                <w:szCs w:val="20"/>
              </w:rPr>
              <w:t>400-250</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rsidR="004B0AF6" w:rsidRPr="006273E9" w:rsidRDefault="004B0AF6" w:rsidP="00FA1765">
            <w:pPr>
              <w:jc w:val="center"/>
              <w:rPr>
                <w:b/>
                <w:color w:val="000000" w:themeColor="text1"/>
                <w:sz w:val="20"/>
                <w:szCs w:val="20"/>
              </w:rPr>
            </w:pPr>
            <w:r>
              <w:rPr>
                <w:b/>
                <w:color w:val="000000" w:themeColor="text1"/>
                <w:sz w:val="20"/>
                <w:szCs w:val="20"/>
              </w:rPr>
              <w:t>250-150</w:t>
            </w:r>
          </w:p>
        </w:tc>
        <w:tc>
          <w:tcPr>
            <w:tcW w:w="1418" w:type="dxa"/>
            <w:tcBorders>
              <w:left w:val="single" w:sz="2" w:space="0" w:color="auto"/>
              <w:right w:val="single" w:sz="12" w:space="0" w:color="auto"/>
            </w:tcBorders>
            <w:shd w:val="clear" w:color="auto" w:fill="92D050"/>
            <w:vAlign w:val="center"/>
          </w:tcPr>
          <w:p w:rsidR="004B0AF6" w:rsidRPr="006273E9" w:rsidRDefault="004B0AF6" w:rsidP="00FA1765">
            <w:pPr>
              <w:jc w:val="center"/>
              <w:rPr>
                <w:b/>
                <w:color w:val="000000" w:themeColor="text1"/>
                <w:sz w:val="20"/>
                <w:szCs w:val="20"/>
              </w:rPr>
            </w:pPr>
            <w:r>
              <w:rPr>
                <w:b/>
                <w:color w:val="000000" w:themeColor="text1"/>
                <w:sz w:val="20"/>
                <w:szCs w:val="20"/>
              </w:rPr>
              <w:t>&lt;150</w:t>
            </w:r>
          </w:p>
        </w:tc>
        <w:tc>
          <w:tcPr>
            <w:tcW w:w="1077" w:type="dxa"/>
            <w:tcBorders>
              <w:left w:val="single" w:sz="12" w:space="0" w:color="auto"/>
              <w:right w:val="single" w:sz="12" w:space="0" w:color="auto"/>
            </w:tcBorders>
            <w:shd w:val="clear" w:color="auto" w:fill="FFC000"/>
            <w:vAlign w:val="center"/>
          </w:tcPr>
          <w:p w:rsidR="004B0AF6" w:rsidRPr="00F67ADB" w:rsidRDefault="004B0AF6" w:rsidP="00FA1765">
            <w:pPr>
              <w:jc w:val="center"/>
              <w:rPr>
                <w:b/>
                <w:color w:val="000000" w:themeColor="text1"/>
                <w:sz w:val="20"/>
                <w:szCs w:val="20"/>
              </w:rPr>
            </w:pPr>
            <w:r>
              <w:rPr>
                <w:b/>
                <w:color w:val="000000" w:themeColor="text1"/>
                <w:sz w:val="20"/>
                <w:szCs w:val="20"/>
              </w:rPr>
              <w:t>359</w:t>
            </w:r>
          </w:p>
        </w:tc>
        <w:tc>
          <w:tcPr>
            <w:tcW w:w="1077" w:type="dxa"/>
            <w:tcBorders>
              <w:left w:val="single" w:sz="12" w:space="0" w:color="auto"/>
              <w:right w:val="single" w:sz="12" w:space="0" w:color="auto"/>
            </w:tcBorders>
            <w:shd w:val="clear" w:color="auto" w:fill="C2D69B" w:themeFill="accent3" w:themeFillTint="99"/>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298</w:t>
            </w:r>
          </w:p>
        </w:tc>
        <w:tc>
          <w:tcPr>
            <w:tcW w:w="1077" w:type="dxa"/>
            <w:tcBorders>
              <w:left w:val="single" w:sz="12" w:space="0" w:color="auto"/>
              <w:right w:val="single" w:sz="12" w:space="0" w:color="auto"/>
            </w:tcBorders>
            <w:shd w:val="clear" w:color="auto" w:fill="C2D69B" w:themeFill="accent3" w:themeFillTint="99"/>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259</w:t>
            </w:r>
          </w:p>
        </w:tc>
        <w:tc>
          <w:tcPr>
            <w:tcW w:w="1134" w:type="dxa"/>
            <w:tcBorders>
              <w:left w:val="single" w:sz="12" w:space="0" w:color="auto"/>
              <w:right w:val="single" w:sz="12" w:space="0" w:color="auto"/>
            </w:tcBorders>
            <w:shd w:val="clear" w:color="auto" w:fill="92D050"/>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130</w:t>
            </w:r>
          </w:p>
        </w:tc>
        <w:tc>
          <w:tcPr>
            <w:tcW w:w="1134" w:type="dxa"/>
            <w:tcBorders>
              <w:left w:val="single" w:sz="12" w:space="0" w:color="auto"/>
              <w:right w:val="single" w:sz="12" w:space="0" w:color="auto"/>
            </w:tcBorders>
            <w:shd w:val="clear" w:color="auto" w:fill="92D050"/>
          </w:tcPr>
          <w:p w:rsidR="004B0AF6" w:rsidRDefault="004B0AF6" w:rsidP="00FA1765">
            <w:pPr>
              <w:jc w:val="center"/>
              <w:rPr>
                <w:rFonts w:cs="Arial"/>
                <w:b/>
                <w:color w:val="000000" w:themeColor="text1"/>
                <w:sz w:val="20"/>
                <w:szCs w:val="20"/>
              </w:rPr>
            </w:pPr>
            <w:r>
              <w:rPr>
                <w:rFonts w:cs="Arial"/>
                <w:b/>
                <w:color w:val="000000" w:themeColor="text1"/>
                <w:sz w:val="20"/>
                <w:szCs w:val="20"/>
              </w:rPr>
              <w:t>0</w:t>
            </w:r>
            <w:r w:rsidRPr="00727EF8">
              <w:rPr>
                <w:rFonts w:cs="Arial"/>
                <w:b/>
                <w:color w:val="000000" w:themeColor="text1"/>
                <w:sz w:val="20"/>
                <w:szCs w:val="20"/>
                <w:vertAlign w:val="superscript"/>
              </w:rPr>
              <w:t>4</w:t>
            </w:r>
          </w:p>
        </w:tc>
      </w:tr>
      <w:tr w:rsidR="004B0AF6" w:rsidTr="00FA1765">
        <w:trPr>
          <w:trHeight w:val="454"/>
        </w:trPr>
        <w:tc>
          <w:tcPr>
            <w:tcW w:w="1417" w:type="dxa"/>
            <w:gridSpan w:val="2"/>
            <w:tcBorders>
              <w:left w:val="single" w:sz="12" w:space="0" w:color="auto"/>
              <w:right w:val="single" w:sz="12" w:space="0" w:color="auto"/>
            </w:tcBorders>
            <w:shd w:val="clear" w:color="auto" w:fill="auto"/>
            <w:vAlign w:val="center"/>
          </w:tcPr>
          <w:p w:rsidR="004B0AF6" w:rsidRPr="00265E96" w:rsidRDefault="004B0AF6" w:rsidP="00FA1765">
            <w:pPr>
              <w:jc w:val="center"/>
              <w:rPr>
                <w:rFonts w:cs="Arial"/>
                <w:color w:val="000000" w:themeColor="text1"/>
                <w:sz w:val="20"/>
                <w:szCs w:val="20"/>
              </w:rPr>
            </w:pPr>
            <w:r w:rsidRPr="00265E96">
              <w:rPr>
                <w:rFonts w:cs="Arial"/>
                <w:b/>
                <w:color w:val="000000" w:themeColor="text1"/>
                <w:sz w:val="20"/>
                <w:szCs w:val="20"/>
              </w:rPr>
              <w:t>Bridges and Similar Structures</w:t>
            </w:r>
          </w:p>
        </w:tc>
        <w:tc>
          <w:tcPr>
            <w:tcW w:w="1304" w:type="dxa"/>
            <w:tcBorders>
              <w:right w:val="single" w:sz="12" w:space="0" w:color="auto"/>
            </w:tcBorders>
            <w:shd w:val="clear" w:color="auto" w:fill="auto"/>
            <w:vAlign w:val="center"/>
          </w:tcPr>
          <w:p w:rsidR="004B0AF6" w:rsidRPr="008266D5" w:rsidRDefault="004B0AF6" w:rsidP="00FA1765">
            <w:pPr>
              <w:jc w:val="center"/>
              <w:rPr>
                <w:rFonts w:cs="Arial"/>
                <w:b/>
                <w:color w:val="000000" w:themeColor="text1"/>
                <w:sz w:val="18"/>
                <w:szCs w:val="18"/>
              </w:rPr>
            </w:pPr>
            <w:r w:rsidRPr="008266D5">
              <w:rPr>
                <w:rFonts w:cs="Arial"/>
                <w:color w:val="000000" w:themeColor="text1"/>
                <w:sz w:val="18"/>
                <w:szCs w:val="18"/>
              </w:rPr>
              <w:t>Bridge Condition Index (Ave.)</w:t>
            </w:r>
          </w:p>
        </w:tc>
        <w:tc>
          <w:tcPr>
            <w:tcW w:w="964" w:type="dxa"/>
            <w:tcBorders>
              <w:right w:val="single" w:sz="2" w:space="0" w:color="auto"/>
            </w:tcBorders>
            <w:shd w:val="clear" w:color="auto" w:fill="FF0000"/>
            <w:vAlign w:val="center"/>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&lt;40</w:t>
            </w:r>
          </w:p>
        </w:tc>
        <w:tc>
          <w:tcPr>
            <w:tcW w:w="1587" w:type="dxa"/>
            <w:tcBorders>
              <w:top w:val="single" w:sz="2" w:space="0" w:color="auto"/>
              <w:left w:val="single" w:sz="2" w:space="0" w:color="auto"/>
              <w:bottom w:val="single" w:sz="2" w:space="0" w:color="auto"/>
              <w:right w:val="single" w:sz="2" w:space="0" w:color="auto"/>
            </w:tcBorders>
            <w:shd w:val="clear" w:color="auto" w:fill="FFC00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40-60</w:t>
            </w:r>
          </w:p>
        </w:tc>
        <w:tc>
          <w:tcPr>
            <w:tcW w:w="1020" w:type="dxa"/>
            <w:tcBorders>
              <w:top w:val="single" w:sz="2" w:space="0" w:color="auto"/>
              <w:left w:val="single" w:sz="2" w:space="0" w:color="auto"/>
              <w:bottom w:val="single" w:sz="2" w:space="0" w:color="auto"/>
              <w:right w:val="single" w:sz="2" w:space="0" w:color="auto"/>
            </w:tcBorders>
            <w:shd w:val="clear" w:color="auto" w:fill="FFFF0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60-79</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80-90</w:t>
            </w:r>
          </w:p>
        </w:tc>
        <w:tc>
          <w:tcPr>
            <w:tcW w:w="1418" w:type="dxa"/>
            <w:tcBorders>
              <w:left w:val="single" w:sz="2" w:space="0" w:color="auto"/>
              <w:right w:val="single" w:sz="12" w:space="0" w:color="auto"/>
            </w:tcBorders>
            <w:shd w:val="clear" w:color="auto" w:fill="92D05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&gt;90</w:t>
            </w:r>
          </w:p>
        </w:tc>
        <w:tc>
          <w:tcPr>
            <w:tcW w:w="1077" w:type="dxa"/>
            <w:tcBorders>
              <w:left w:val="single" w:sz="12" w:space="0" w:color="auto"/>
              <w:right w:val="single" w:sz="12" w:space="0" w:color="auto"/>
            </w:tcBorders>
            <w:shd w:val="clear" w:color="auto" w:fill="C2D69B" w:themeFill="accent3" w:themeFillTint="99"/>
            <w:vAlign w:val="center"/>
          </w:tcPr>
          <w:p w:rsidR="004B0AF6" w:rsidRPr="00F67ADB" w:rsidRDefault="004B0AF6" w:rsidP="00FA1765">
            <w:pPr>
              <w:jc w:val="center"/>
              <w:rPr>
                <w:b/>
                <w:color w:val="000000" w:themeColor="text1"/>
                <w:sz w:val="20"/>
                <w:szCs w:val="20"/>
              </w:rPr>
            </w:pPr>
            <w:r w:rsidRPr="00F67ADB">
              <w:rPr>
                <w:b/>
                <w:color w:val="000000" w:themeColor="text1"/>
                <w:sz w:val="20"/>
                <w:szCs w:val="20"/>
              </w:rPr>
              <w:t>89.3</w:t>
            </w:r>
          </w:p>
        </w:tc>
        <w:tc>
          <w:tcPr>
            <w:tcW w:w="1077" w:type="dxa"/>
            <w:tcBorders>
              <w:left w:val="single" w:sz="12" w:space="0" w:color="auto"/>
              <w:right w:val="single" w:sz="12" w:space="0" w:color="auto"/>
            </w:tcBorders>
            <w:shd w:val="clear" w:color="auto" w:fill="C2D69B" w:themeFill="accent3" w:themeFillTint="99"/>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89.99</w:t>
            </w:r>
          </w:p>
        </w:tc>
        <w:tc>
          <w:tcPr>
            <w:tcW w:w="1077" w:type="dxa"/>
            <w:tcBorders>
              <w:left w:val="single" w:sz="12" w:space="0" w:color="auto"/>
              <w:right w:val="single" w:sz="12" w:space="0" w:color="auto"/>
            </w:tcBorders>
            <w:shd w:val="clear" w:color="auto" w:fill="92D050"/>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90.19</w:t>
            </w:r>
          </w:p>
        </w:tc>
        <w:tc>
          <w:tcPr>
            <w:tcW w:w="1134" w:type="dxa"/>
            <w:tcBorders>
              <w:left w:val="single" w:sz="12" w:space="0" w:color="auto"/>
              <w:right w:val="single" w:sz="12" w:space="0" w:color="auto"/>
            </w:tcBorders>
            <w:shd w:val="clear" w:color="auto" w:fill="C2D69B" w:themeFill="accent3" w:themeFillTint="99"/>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89.75</w:t>
            </w:r>
          </w:p>
        </w:tc>
        <w:tc>
          <w:tcPr>
            <w:tcW w:w="1134" w:type="dxa"/>
            <w:tcBorders>
              <w:left w:val="single" w:sz="12" w:space="0" w:color="auto"/>
              <w:right w:val="single" w:sz="12" w:space="0" w:color="auto"/>
            </w:tcBorders>
            <w:shd w:val="clear" w:color="auto" w:fill="C2D69B" w:themeFill="accent3" w:themeFillTint="99"/>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89.67</w:t>
            </w:r>
          </w:p>
        </w:tc>
      </w:tr>
      <w:tr w:rsidR="004B0AF6" w:rsidTr="00FA1765">
        <w:tc>
          <w:tcPr>
            <w:tcW w:w="1417" w:type="dxa"/>
            <w:gridSpan w:val="2"/>
            <w:tcBorders>
              <w:left w:val="single" w:sz="12" w:space="0" w:color="auto"/>
              <w:bottom w:val="single" w:sz="4" w:space="0" w:color="auto"/>
              <w:right w:val="single" w:sz="12" w:space="0" w:color="auto"/>
            </w:tcBorders>
            <w:shd w:val="clear" w:color="auto" w:fill="auto"/>
            <w:vAlign w:val="center"/>
          </w:tcPr>
          <w:p w:rsidR="004B0AF6" w:rsidRPr="00265E96" w:rsidRDefault="004B0AF6" w:rsidP="00FA1765">
            <w:pPr>
              <w:jc w:val="center"/>
              <w:rPr>
                <w:rFonts w:cs="Arial"/>
                <w:color w:val="000000" w:themeColor="text1"/>
                <w:sz w:val="20"/>
                <w:szCs w:val="20"/>
              </w:rPr>
            </w:pPr>
            <w:r w:rsidRPr="00265E96">
              <w:rPr>
                <w:rFonts w:cs="Arial"/>
                <w:b/>
                <w:color w:val="000000" w:themeColor="text1"/>
                <w:sz w:val="20"/>
                <w:szCs w:val="20"/>
              </w:rPr>
              <w:t>Street Lighting</w:t>
            </w:r>
          </w:p>
        </w:tc>
        <w:tc>
          <w:tcPr>
            <w:tcW w:w="1304" w:type="dxa"/>
            <w:tcBorders>
              <w:bottom w:val="single" w:sz="4" w:space="0" w:color="auto"/>
              <w:right w:val="single" w:sz="12" w:space="0" w:color="auto"/>
            </w:tcBorders>
            <w:shd w:val="clear" w:color="auto" w:fill="auto"/>
            <w:vAlign w:val="center"/>
          </w:tcPr>
          <w:p w:rsidR="004B0AF6" w:rsidRPr="008266D5" w:rsidRDefault="004B0AF6" w:rsidP="00FA1765">
            <w:pPr>
              <w:jc w:val="center"/>
              <w:rPr>
                <w:rFonts w:cs="Arial"/>
                <w:b/>
                <w:color w:val="000000" w:themeColor="text1"/>
                <w:sz w:val="18"/>
                <w:szCs w:val="18"/>
              </w:rPr>
            </w:pPr>
            <w:r w:rsidRPr="008266D5">
              <w:rPr>
                <w:rFonts w:cs="Arial"/>
                <w:color w:val="000000" w:themeColor="text1"/>
                <w:sz w:val="18"/>
                <w:szCs w:val="18"/>
              </w:rPr>
              <w:t>% of high</w:t>
            </w:r>
            <w:r>
              <w:rPr>
                <w:rFonts w:cs="Arial"/>
                <w:color w:val="000000" w:themeColor="text1"/>
                <w:sz w:val="18"/>
                <w:szCs w:val="18"/>
              </w:rPr>
              <w:t xml:space="preserve"> / medium </w:t>
            </w:r>
            <w:r w:rsidRPr="008266D5">
              <w:rPr>
                <w:rFonts w:cs="Arial"/>
                <w:color w:val="000000" w:themeColor="text1"/>
                <w:sz w:val="18"/>
                <w:szCs w:val="18"/>
              </w:rPr>
              <w:t>risk installations</w:t>
            </w:r>
          </w:p>
        </w:tc>
        <w:tc>
          <w:tcPr>
            <w:tcW w:w="964" w:type="dxa"/>
            <w:tcBorders>
              <w:bottom w:val="single" w:sz="4" w:space="0" w:color="auto"/>
              <w:right w:val="single" w:sz="2" w:space="0" w:color="auto"/>
            </w:tcBorders>
            <w:shd w:val="clear" w:color="auto" w:fill="FF0000"/>
            <w:vAlign w:val="center"/>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&gt;35%</w:t>
            </w:r>
          </w:p>
        </w:tc>
        <w:tc>
          <w:tcPr>
            <w:tcW w:w="1587" w:type="dxa"/>
            <w:tcBorders>
              <w:top w:val="single" w:sz="2" w:space="0" w:color="auto"/>
              <w:left w:val="single" w:sz="2" w:space="0" w:color="auto"/>
              <w:bottom w:val="single" w:sz="2" w:space="0" w:color="auto"/>
              <w:right w:val="single" w:sz="2" w:space="0" w:color="auto"/>
            </w:tcBorders>
            <w:shd w:val="clear" w:color="auto" w:fill="FFC00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25-35%</w:t>
            </w:r>
          </w:p>
        </w:tc>
        <w:tc>
          <w:tcPr>
            <w:tcW w:w="1020" w:type="dxa"/>
            <w:tcBorders>
              <w:top w:val="single" w:sz="2" w:space="0" w:color="auto"/>
              <w:left w:val="single" w:sz="2" w:space="0" w:color="auto"/>
              <w:bottom w:val="single" w:sz="2" w:space="0" w:color="auto"/>
              <w:right w:val="single" w:sz="2" w:space="0" w:color="auto"/>
            </w:tcBorders>
            <w:shd w:val="clear" w:color="auto" w:fill="FFFF0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20-25%</w:t>
            </w:r>
          </w:p>
        </w:tc>
        <w:tc>
          <w:tcPr>
            <w:tcW w:w="1020" w:type="dxa"/>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10-20%</w:t>
            </w:r>
          </w:p>
        </w:tc>
        <w:tc>
          <w:tcPr>
            <w:tcW w:w="1418" w:type="dxa"/>
            <w:tcBorders>
              <w:left w:val="single" w:sz="2" w:space="0" w:color="auto"/>
              <w:bottom w:val="single" w:sz="4" w:space="0" w:color="auto"/>
              <w:right w:val="single" w:sz="12" w:space="0" w:color="auto"/>
            </w:tcBorders>
            <w:shd w:val="clear" w:color="auto" w:fill="92D05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5-10%</w:t>
            </w:r>
          </w:p>
        </w:tc>
        <w:tc>
          <w:tcPr>
            <w:tcW w:w="1077" w:type="dxa"/>
            <w:tcBorders>
              <w:left w:val="single" w:sz="12" w:space="0" w:color="auto"/>
              <w:bottom w:val="single" w:sz="4" w:space="0" w:color="auto"/>
              <w:right w:val="single" w:sz="12" w:space="0" w:color="auto"/>
            </w:tcBorders>
            <w:shd w:val="clear" w:color="auto" w:fill="FFFF00"/>
            <w:vAlign w:val="center"/>
          </w:tcPr>
          <w:p w:rsidR="004B0AF6" w:rsidRPr="00F67ADB" w:rsidRDefault="004B0AF6" w:rsidP="00FA1765">
            <w:pPr>
              <w:jc w:val="center"/>
              <w:rPr>
                <w:b/>
                <w:i/>
                <w:color w:val="000000" w:themeColor="text1"/>
                <w:sz w:val="20"/>
                <w:szCs w:val="20"/>
                <w:u w:val="single"/>
              </w:rPr>
            </w:pPr>
            <w:r w:rsidRPr="00F67ADB">
              <w:rPr>
                <w:b/>
                <w:color w:val="000000" w:themeColor="text1"/>
                <w:sz w:val="20"/>
                <w:szCs w:val="20"/>
              </w:rPr>
              <w:t>23.15%</w:t>
            </w:r>
          </w:p>
        </w:tc>
        <w:tc>
          <w:tcPr>
            <w:tcW w:w="1077" w:type="dxa"/>
            <w:tcBorders>
              <w:left w:val="single" w:sz="12" w:space="0" w:color="auto"/>
              <w:bottom w:val="single" w:sz="4" w:space="0" w:color="auto"/>
              <w:right w:val="single" w:sz="12" w:space="0" w:color="auto"/>
            </w:tcBorders>
            <w:shd w:val="clear" w:color="auto" w:fill="C2D69B" w:themeFill="accent3" w:themeFillTint="99"/>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17.72%</w:t>
            </w:r>
            <w:r w:rsidRPr="00B83ADF">
              <w:rPr>
                <w:rFonts w:cs="Arial"/>
                <w:b/>
                <w:color w:val="000000" w:themeColor="text1"/>
                <w:sz w:val="20"/>
                <w:szCs w:val="20"/>
                <w:vertAlign w:val="superscript"/>
              </w:rPr>
              <w:t>3</w:t>
            </w:r>
          </w:p>
        </w:tc>
        <w:tc>
          <w:tcPr>
            <w:tcW w:w="1077" w:type="dxa"/>
            <w:tcBorders>
              <w:left w:val="single" w:sz="12" w:space="0" w:color="auto"/>
              <w:bottom w:val="single" w:sz="4" w:space="0" w:color="auto"/>
              <w:right w:val="single" w:sz="12" w:space="0" w:color="auto"/>
            </w:tcBorders>
            <w:shd w:val="clear" w:color="auto" w:fill="C2D69B" w:themeFill="accent3" w:themeFillTint="99"/>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19.99%</w:t>
            </w:r>
            <w:r w:rsidRPr="00B83ADF">
              <w:rPr>
                <w:rFonts w:cs="Arial"/>
                <w:b/>
                <w:color w:val="000000" w:themeColor="text1"/>
                <w:sz w:val="20"/>
                <w:szCs w:val="20"/>
                <w:vertAlign w:val="superscript"/>
              </w:rPr>
              <w:t>3</w:t>
            </w:r>
          </w:p>
        </w:tc>
        <w:tc>
          <w:tcPr>
            <w:tcW w:w="1134" w:type="dxa"/>
            <w:tcBorders>
              <w:left w:val="single" w:sz="12" w:space="0" w:color="auto"/>
              <w:bottom w:val="single" w:sz="4" w:space="0" w:color="auto"/>
              <w:right w:val="single" w:sz="12" w:space="0" w:color="auto"/>
            </w:tcBorders>
            <w:shd w:val="clear" w:color="auto" w:fill="C2D69B" w:themeFill="accent3" w:themeFillTint="99"/>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16.15%</w:t>
            </w:r>
            <w:r w:rsidRPr="00B83ADF">
              <w:rPr>
                <w:rFonts w:cs="Arial"/>
                <w:b/>
                <w:color w:val="000000" w:themeColor="text1"/>
                <w:sz w:val="20"/>
                <w:szCs w:val="20"/>
                <w:vertAlign w:val="superscript"/>
              </w:rPr>
              <w:t>3</w:t>
            </w:r>
          </w:p>
        </w:tc>
        <w:tc>
          <w:tcPr>
            <w:tcW w:w="1134" w:type="dxa"/>
            <w:tcBorders>
              <w:left w:val="single" w:sz="12" w:space="0" w:color="auto"/>
              <w:bottom w:val="single" w:sz="4" w:space="0" w:color="auto"/>
              <w:right w:val="single" w:sz="12" w:space="0" w:color="auto"/>
            </w:tcBorders>
            <w:shd w:val="clear" w:color="auto" w:fill="C2D69B" w:themeFill="accent3" w:themeFillTint="99"/>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15.66%</w:t>
            </w:r>
          </w:p>
        </w:tc>
      </w:tr>
      <w:tr w:rsidR="004B0AF6" w:rsidTr="00FA1765">
        <w:tc>
          <w:tcPr>
            <w:tcW w:w="1417" w:type="dxa"/>
            <w:gridSpan w:val="2"/>
            <w:tcBorders>
              <w:left w:val="single" w:sz="12" w:space="0" w:color="auto"/>
              <w:bottom w:val="single" w:sz="4" w:space="0" w:color="auto"/>
              <w:right w:val="single" w:sz="12" w:space="0" w:color="auto"/>
            </w:tcBorders>
            <w:shd w:val="clear" w:color="auto" w:fill="auto"/>
            <w:vAlign w:val="center"/>
          </w:tcPr>
          <w:p w:rsidR="004B0AF6" w:rsidRPr="00265E96" w:rsidRDefault="004B0AF6" w:rsidP="00FA1765">
            <w:pPr>
              <w:jc w:val="center"/>
              <w:rPr>
                <w:rFonts w:cs="Arial"/>
                <w:color w:val="000000" w:themeColor="text1"/>
                <w:sz w:val="20"/>
                <w:szCs w:val="20"/>
              </w:rPr>
            </w:pPr>
            <w:r w:rsidRPr="00265E96">
              <w:rPr>
                <w:rFonts w:cs="Arial"/>
                <w:b/>
                <w:color w:val="000000" w:themeColor="text1"/>
                <w:sz w:val="20"/>
                <w:szCs w:val="20"/>
              </w:rPr>
              <w:t>Traffic Signals</w:t>
            </w:r>
          </w:p>
        </w:tc>
        <w:tc>
          <w:tcPr>
            <w:tcW w:w="1304" w:type="dxa"/>
            <w:tcBorders>
              <w:left w:val="single" w:sz="12" w:space="0" w:color="auto"/>
              <w:bottom w:val="single" w:sz="4" w:space="0" w:color="auto"/>
              <w:right w:val="single" w:sz="12" w:space="0" w:color="auto"/>
            </w:tcBorders>
            <w:shd w:val="clear" w:color="auto" w:fill="auto"/>
            <w:vAlign w:val="center"/>
          </w:tcPr>
          <w:p w:rsidR="004B0AF6" w:rsidRPr="008266D5" w:rsidRDefault="004B0AF6" w:rsidP="00FA1765">
            <w:pPr>
              <w:jc w:val="center"/>
              <w:rPr>
                <w:rFonts w:cs="Arial"/>
                <w:b/>
                <w:color w:val="000000" w:themeColor="text1"/>
                <w:sz w:val="18"/>
                <w:szCs w:val="18"/>
              </w:rPr>
            </w:pPr>
            <w:r w:rsidRPr="008266D5">
              <w:rPr>
                <w:rFonts w:cs="Arial"/>
                <w:color w:val="000000" w:themeColor="text1"/>
                <w:sz w:val="18"/>
                <w:szCs w:val="18"/>
              </w:rPr>
              <w:t>% of units beyond design life</w:t>
            </w:r>
          </w:p>
        </w:tc>
        <w:tc>
          <w:tcPr>
            <w:tcW w:w="964" w:type="dxa"/>
            <w:tcBorders>
              <w:left w:val="single" w:sz="12" w:space="0" w:color="auto"/>
              <w:bottom w:val="single" w:sz="4" w:space="0" w:color="auto"/>
              <w:right w:val="single" w:sz="2" w:space="0" w:color="auto"/>
            </w:tcBorders>
            <w:shd w:val="clear" w:color="auto" w:fill="FF0000"/>
            <w:vAlign w:val="center"/>
          </w:tcPr>
          <w:p w:rsidR="004B0AF6" w:rsidRPr="006273E9" w:rsidRDefault="004B0AF6" w:rsidP="00FA1765">
            <w:pPr>
              <w:jc w:val="center"/>
              <w:rPr>
                <w:rFonts w:cs="Arial"/>
                <w:b/>
                <w:color w:val="FFFFFF" w:themeColor="background1"/>
                <w:sz w:val="20"/>
                <w:szCs w:val="20"/>
              </w:rPr>
            </w:pPr>
            <w:r w:rsidRPr="006273E9">
              <w:rPr>
                <w:rFonts w:cs="Arial"/>
                <w:b/>
                <w:color w:val="FFFFFF" w:themeColor="background1"/>
                <w:sz w:val="20"/>
                <w:szCs w:val="20"/>
              </w:rPr>
              <w:t>&gt;40%</w:t>
            </w:r>
          </w:p>
        </w:tc>
        <w:tc>
          <w:tcPr>
            <w:tcW w:w="1587" w:type="dxa"/>
            <w:tcBorders>
              <w:top w:val="single" w:sz="2" w:space="0" w:color="auto"/>
              <w:left w:val="single" w:sz="2" w:space="0" w:color="auto"/>
              <w:bottom w:val="single" w:sz="4" w:space="0" w:color="auto"/>
              <w:right w:val="single" w:sz="2" w:space="0" w:color="auto"/>
            </w:tcBorders>
            <w:shd w:val="clear" w:color="auto" w:fill="FFC00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30-40%</w:t>
            </w:r>
          </w:p>
        </w:tc>
        <w:tc>
          <w:tcPr>
            <w:tcW w:w="1020" w:type="dxa"/>
            <w:tcBorders>
              <w:top w:val="single" w:sz="2" w:space="0" w:color="auto"/>
              <w:left w:val="single" w:sz="2" w:space="0" w:color="auto"/>
              <w:bottom w:val="single" w:sz="4" w:space="0" w:color="auto"/>
              <w:right w:val="single" w:sz="2" w:space="0" w:color="auto"/>
            </w:tcBorders>
            <w:shd w:val="clear" w:color="auto" w:fill="FFFF0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20-30</w:t>
            </w:r>
          </w:p>
        </w:tc>
        <w:tc>
          <w:tcPr>
            <w:tcW w:w="1020" w:type="dxa"/>
            <w:tcBorders>
              <w:top w:val="single" w:sz="2" w:space="0" w:color="auto"/>
              <w:left w:val="single" w:sz="2" w:space="0" w:color="auto"/>
              <w:bottom w:val="single" w:sz="4" w:space="0" w:color="auto"/>
              <w:right w:val="single" w:sz="2" w:space="0" w:color="auto"/>
            </w:tcBorders>
            <w:shd w:val="clear" w:color="auto" w:fill="C2D69B" w:themeFill="accent3" w:themeFillTint="99"/>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10-20</w:t>
            </w:r>
          </w:p>
        </w:tc>
        <w:tc>
          <w:tcPr>
            <w:tcW w:w="1418" w:type="dxa"/>
            <w:tcBorders>
              <w:left w:val="single" w:sz="2" w:space="0" w:color="auto"/>
              <w:bottom w:val="single" w:sz="4" w:space="0" w:color="auto"/>
              <w:right w:val="single" w:sz="12" w:space="0" w:color="auto"/>
            </w:tcBorders>
            <w:shd w:val="clear" w:color="auto" w:fill="92D050"/>
            <w:vAlign w:val="center"/>
          </w:tcPr>
          <w:p w:rsidR="004B0AF6" w:rsidRPr="006273E9" w:rsidRDefault="004B0AF6" w:rsidP="00FA1765">
            <w:pPr>
              <w:jc w:val="center"/>
              <w:rPr>
                <w:b/>
                <w:color w:val="000000" w:themeColor="text1"/>
                <w:sz w:val="20"/>
                <w:szCs w:val="20"/>
              </w:rPr>
            </w:pPr>
            <w:r w:rsidRPr="006273E9">
              <w:rPr>
                <w:b/>
                <w:color w:val="000000" w:themeColor="text1"/>
                <w:sz w:val="20"/>
                <w:szCs w:val="20"/>
              </w:rPr>
              <w:t>&lt;10%</w:t>
            </w:r>
          </w:p>
        </w:tc>
        <w:tc>
          <w:tcPr>
            <w:tcW w:w="1077" w:type="dxa"/>
            <w:tcBorders>
              <w:left w:val="single" w:sz="12" w:space="0" w:color="auto"/>
              <w:bottom w:val="single" w:sz="4" w:space="0" w:color="auto"/>
              <w:right w:val="single" w:sz="12" w:space="0" w:color="auto"/>
            </w:tcBorders>
            <w:shd w:val="clear" w:color="auto" w:fill="FFC000"/>
            <w:vAlign w:val="center"/>
          </w:tcPr>
          <w:p w:rsidR="004B0AF6" w:rsidRPr="00F67ADB" w:rsidRDefault="004B0AF6" w:rsidP="00FA1765">
            <w:pPr>
              <w:jc w:val="center"/>
              <w:rPr>
                <w:b/>
                <w:color w:val="000000" w:themeColor="text1"/>
                <w:sz w:val="20"/>
                <w:szCs w:val="20"/>
              </w:rPr>
            </w:pPr>
            <w:r w:rsidRPr="00F67ADB">
              <w:rPr>
                <w:b/>
                <w:color w:val="000000" w:themeColor="text1"/>
                <w:sz w:val="20"/>
                <w:szCs w:val="20"/>
              </w:rPr>
              <w:t>33.11%</w:t>
            </w:r>
          </w:p>
        </w:tc>
        <w:tc>
          <w:tcPr>
            <w:tcW w:w="1077" w:type="dxa"/>
            <w:tcBorders>
              <w:left w:val="single" w:sz="12" w:space="0" w:color="auto"/>
              <w:bottom w:val="single" w:sz="4" w:space="0" w:color="auto"/>
              <w:right w:val="single" w:sz="12" w:space="0" w:color="auto"/>
            </w:tcBorders>
            <w:shd w:val="clear" w:color="auto" w:fill="FFC000"/>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33.11</w:t>
            </w:r>
          </w:p>
        </w:tc>
        <w:tc>
          <w:tcPr>
            <w:tcW w:w="1077" w:type="dxa"/>
            <w:tcBorders>
              <w:left w:val="single" w:sz="12" w:space="0" w:color="auto"/>
              <w:bottom w:val="single" w:sz="4" w:space="0" w:color="auto"/>
              <w:right w:val="single" w:sz="12" w:space="0" w:color="auto"/>
            </w:tcBorders>
            <w:shd w:val="clear" w:color="auto" w:fill="FFC000"/>
            <w:vAlign w:val="center"/>
          </w:tcPr>
          <w:p w:rsidR="004B0AF6" w:rsidRPr="00F67ADB" w:rsidRDefault="004B0AF6" w:rsidP="00FA1765">
            <w:pPr>
              <w:jc w:val="center"/>
              <w:rPr>
                <w:rFonts w:cs="Arial"/>
                <w:b/>
                <w:color w:val="000000" w:themeColor="text1"/>
                <w:sz w:val="20"/>
                <w:szCs w:val="20"/>
              </w:rPr>
            </w:pPr>
            <w:r>
              <w:rPr>
                <w:rFonts w:cs="Arial"/>
                <w:b/>
                <w:color w:val="000000" w:themeColor="text1"/>
                <w:sz w:val="20"/>
                <w:szCs w:val="20"/>
              </w:rPr>
              <w:t>30.31</w:t>
            </w:r>
          </w:p>
        </w:tc>
        <w:tc>
          <w:tcPr>
            <w:tcW w:w="1134" w:type="dxa"/>
            <w:tcBorders>
              <w:left w:val="single" w:sz="12" w:space="0" w:color="auto"/>
              <w:bottom w:val="single" w:sz="4" w:space="0" w:color="auto"/>
              <w:right w:val="single" w:sz="12" w:space="0" w:color="auto"/>
            </w:tcBorders>
            <w:shd w:val="clear" w:color="auto" w:fill="FFC000"/>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30.31</w:t>
            </w:r>
            <w:r w:rsidRPr="0013385B">
              <w:rPr>
                <w:rFonts w:cs="Arial"/>
                <w:b/>
                <w:color w:val="000000" w:themeColor="text1"/>
                <w:sz w:val="20"/>
                <w:szCs w:val="20"/>
                <w:vertAlign w:val="superscript"/>
              </w:rPr>
              <w:t>5</w:t>
            </w:r>
          </w:p>
        </w:tc>
        <w:tc>
          <w:tcPr>
            <w:tcW w:w="1134" w:type="dxa"/>
            <w:tcBorders>
              <w:left w:val="single" w:sz="12" w:space="0" w:color="auto"/>
              <w:bottom w:val="single" w:sz="4" w:space="0" w:color="auto"/>
              <w:right w:val="single" w:sz="12" w:space="0" w:color="auto"/>
            </w:tcBorders>
            <w:shd w:val="clear" w:color="auto" w:fill="92D050"/>
            <w:vAlign w:val="center"/>
          </w:tcPr>
          <w:p w:rsidR="004B0AF6" w:rsidRDefault="004B0AF6" w:rsidP="00FA1765">
            <w:pPr>
              <w:jc w:val="center"/>
              <w:rPr>
                <w:rFonts w:cs="Arial"/>
                <w:b/>
                <w:color w:val="000000" w:themeColor="text1"/>
                <w:sz w:val="20"/>
                <w:szCs w:val="20"/>
              </w:rPr>
            </w:pPr>
            <w:r>
              <w:rPr>
                <w:rFonts w:cs="Arial"/>
                <w:b/>
                <w:color w:val="000000" w:themeColor="text1"/>
                <w:sz w:val="20"/>
                <w:szCs w:val="20"/>
              </w:rPr>
              <w:t>13.83</w:t>
            </w:r>
          </w:p>
        </w:tc>
      </w:tr>
      <w:tr w:rsidR="004B0AF6" w:rsidTr="00FA1765">
        <w:trPr>
          <w:trHeight w:val="227"/>
        </w:trPr>
        <w:tc>
          <w:tcPr>
            <w:tcW w:w="454" w:type="dxa"/>
            <w:tcBorders>
              <w:top w:val="single" w:sz="12" w:space="0" w:color="auto"/>
              <w:left w:val="single" w:sz="12" w:space="0" w:color="auto"/>
              <w:right w:val="nil"/>
            </w:tcBorders>
          </w:tcPr>
          <w:p w:rsidR="004B0AF6" w:rsidRPr="00434578" w:rsidRDefault="004B0AF6" w:rsidP="00FA1765">
            <w:pPr>
              <w:rPr>
                <w:rFonts w:cs="Arial"/>
                <w:color w:val="000000" w:themeColor="text1"/>
                <w:sz w:val="20"/>
                <w:szCs w:val="20"/>
              </w:rPr>
            </w:pPr>
            <w:r w:rsidRPr="00434578">
              <w:rPr>
                <w:rFonts w:cs="Arial"/>
                <w:color w:val="000000" w:themeColor="text1"/>
                <w:sz w:val="20"/>
                <w:szCs w:val="20"/>
              </w:rPr>
              <w:t>1</w:t>
            </w:r>
            <w:r>
              <w:rPr>
                <w:rFonts w:cs="Arial"/>
                <w:color w:val="000000" w:themeColor="text1"/>
                <w:sz w:val="20"/>
                <w:szCs w:val="20"/>
              </w:rPr>
              <w:t xml:space="preserve"> - </w:t>
            </w:r>
          </w:p>
        </w:tc>
        <w:tc>
          <w:tcPr>
            <w:tcW w:w="13776" w:type="dxa"/>
            <w:gridSpan w:val="12"/>
            <w:tcBorders>
              <w:top w:val="single" w:sz="12" w:space="0" w:color="auto"/>
              <w:left w:val="nil"/>
              <w:right w:val="single" w:sz="12" w:space="0" w:color="auto"/>
            </w:tcBorders>
          </w:tcPr>
          <w:p w:rsidR="004B0AF6" w:rsidRPr="00434578" w:rsidRDefault="004B0AF6" w:rsidP="00FA1765">
            <w:pPr>
              <w:rPr>
                <w:rFonts w:cs="Arial"/>
                <w:color w:val="000000" w:themeColor="text1"/>
                <w:sz w:val="18"/>
                <w:szCs w:val="18"/>
              </w:rPr>
            </w:pPr>
            <w:r w:rsidRPr="00434578">
              <w:rPr>
                <w:rFonts w:cs="Arial"/>
                <w:color w:val="000000" w:themeColor="text1"/>
                <w:sz w:val="18"/>
                <w:szCs w:val="18"/>
              </w:rPr>
              <w:t xml:space="preserve">Condition data </w:t>
            </w:r>
            <w:r>
              <w:rPr>
                <w:rFonts w:cs="Arial"/>
                <w:color w:val="000000" w:themeColor="text1"/>
                <w:sz w:val="18"/>
                <w:szCs w:val="18"/>
              </w:rPr>
              <w:t xml:space="preserve">is being </w:t>
            </w:r>
            <w:r w:rsidRPr="00434578">
              <w:rPr>
                <w:rFonts w:cs="Arial"/>
                <w:color w:val="000000" w:themeColor="text1"/>
                <w:sz w:val="18"/>
                <w:szCs w:val="18"/>
              </w:rPr>
              <w:t xml:space="preserve">collected </w:t>
            </w:r>
            <w:r>
              <w:rPr>
                <w:rFonts w:cs="Arial"/>
                <w:color w:val="000000" w:themeColor="text1"/>
                <w:sz w:val="18"/>
                <w:szCs w:val="18"/>
              </w:rPr>
              <w:t xml:space="preserve">for the unclassified network </w:t>
            </w:r>
            <w:r w:rsidRPr="00434578">
              <w:rPr>
                <w:rFonts w:cs="Arial"/>
                <w:color w:val="000000" w:themeColor="text1"/>
                <w:sz w:val="18"/>
                <w:szCs w:val="18"/>
              </w:rPr>
              <w:t xml:space="preserve">using </w:t>
            </w:r>
            <w:r>
              <w:rPr>
                <w:rFonts w:cs="Arial"/>
                <w:color w:val="000000" w:themeColor="text1"/>
                <w:sz w:val="18"/>
                <w:szCs w:val="18"/>
              </w:rPr>
              <w:t xml:space="preserve">Detailed Video Survey </w:t>
            </w:r>
            <w:r w:rsidRPr="00434578">
              <w:rPr>
                <w:rFonts w:cs="Arial"/>
                <w:color w:val="000000" w:themeColor="text1"/>
                <w:sz w:val="18"/>
                <w:szCs w:val="18"/>
              </w:rPr>
              <w:t xml:space="preserve">methodology </w:t>
            </w:r>
            <w:r>
              <w:rPr>
                <w:rFonts w:cs="Arial"/>
                <w:color w:val="000000" w:themeColor="text1"/>
                <w:sz w:val="18"/>
                <w:szCs w:val="18"/>
              </w:rPr>
              <w:t>for unclassified roads.  Analysis is currently being undertaken and will be reported as part of the 2018/19 data refresh.  Provisional data shows that the unclassified road network is POOR compared to the C road network</w:t>
            </w:r>
          </w:p>
        </w:tc>
      </w:tr>
      <w:tr w:rsidR="004B0AF6" w:rsidTr="00FA1765">
        <w:trPr>
          <w:trHeight w:val="113"/>
        </w:trPr>
        <w:tc>
          <w:tcPr>
            <w:tcW w:w="454" w:type="dxa"/>
            <w:tcBorders>
              <w:left w:val="single" w:sz="12" w:space="0" w:color="auto"/>
              <w:right w:val="nil"/>
            </w:tcBorders>
          </w:tcPr>
          <w:p w:rsidR="004B0AF6" w:rsidRPr="00434578" w:rsidRDefault="004B0AF6" w:rsidP="00FA1765">
            <w:pPr>
              <w:rPr>
                <w:rFonts w:cs="Arial"/>
                <w:color w:val="000000" w:themeColor="text1"/>
                <w:sz w:val="18"/>
                <w:szCs w:val="18"/>
              </w:rPr>
            </w:pPr>
            <w:r>
              <w:rPr>
                <w:rFonts w:cs="Arial"/>
                <w:color w:val="000000" w:themeColor="text1"/>
                <w:sz w:val="18"/>
                <w:szCs w:val="18"/>
              </w:rPr>
              <w:t xml:space="preserve">2 - </w:t>
            </w:r>
          </w:p>
        </w:tc>
        <w:tc>
          <w:tcPr>
            <w:tcW w:w="13776" w:type="dxa"/>
            <w:gridSpan w:val="12"/>
            <w:tcBorders>
              <w:left w:val="nil"/>
              <w:right w:val="single" w:sz="12" w:space="0" w:color="auto"/>
            </w:tcBorders>
          </w:tcPr>
          <w:p w:rsidR="004B0AF6" w:rsidRPr="00434578" w:rsidRDefault="004B0AF6" w:rsidP="00FA1765">
            <w:pPr>
              <w:rPr>
                <w:rFonts w:cs="Arial"/>
                <w:color w:val="000000" w:themeColor="text1"/>
                <w:sz w:val="18"/>
                <w:szCs w:val="18"/>
              </w:rPr>
            </w:pPr>
            <w:r w:rsidRPr="00434578">
              <w:rPr>
                <w:rFonts w:cs="Arial"/>
                <w:color w:val="000000" w:themeColor="text1"/>
                <w:sz w:val="18"/>
                <w:szCs w:val="18"/>
              </w:rPr>
              <w:t xml:space="preserve">Changes in defect reporting systems </w:t>
            </w:r>
            <w:r>
              <w:rPr>
                <w:rFonts w:cs="Arial"/>
                <w:color w:val="000000" w:themeColor="text1"/>
                <w:sz w:val="18"/>
                <w:szCs w:val="18"/>
              </w:rPr>
              <w:t>for footways meant</w:t>
            </w:r>
            <w:r w:rsidRPr="00434578">
              <w:rPr>
                <w:rFonts w:cs="Arial"/>
                <w:color w:val="000000" w:themeColor="text1"/>
                <w:sz w:val="18"/>
                <w:szCs w:val="18"/>
              </w:rPr>
              <w:t xml:space="preserve"> 2013 data </w:t>
            </w:r>
            <w:r>
              <w:rPr>
                <w:rFonts w:cs="Arial"/>
                <w:color w:val="000000" w:themeColor="text1"/>
                <w:sz w:val="18"/>
                <w:szCs w:val="18"/>
              </w:rPr>
              <w:t xml:space="preserve">is </w:t>
            </w:r>
            <w:r w:rsidRPr="00434578">
              <w:rPr>
                <w:rFonts w:cs="Arial"/>
                <w:color w:val="000000" w:themeColor="text1"/>
                <w:sz w:val="18"/>
                <w:szCs w:val="18"/>
              </w:rPr>
              <w:t>not comp</w:t>
            </w:r>
            <w:r>
              <w:rPr>
                <w:rFonts w:cs="Arial"/>
                <w:color w:val="000000" w:themeColor="text1"/>
                <w:sz w:val="18"/>
                <w:szCs w:val="18"/>
              </w:rPr>
              <w:t>arable to subsequent year's data. Detailed Video Survey data for</w:t>
            </w:r>
            <w:r w:rsidRPr="00434578">
              <w:rPr>
                <w:rFonts w:cs="Arial"/>
                <w:color w:val="000000" w:themeColor="text1"/>
                <w:sz w:val="18"/>
                <w:szCs w:val="18"/>
              </w:rPr>
              <w:t xml:space="preserve"> </w:t>
            </w:r>
            <w:r>
              <w:rPr>
                <w:rFonts w:cs="Arial"/>
                <w:color w:val="000000" w:themeColor="text1"/>
                <w:sz w:val="18"/>
                <w:szCs w:val="18"/>
              </w:rPr>
              <w:t>footways is available</w:t>
            </w:r>
          </w:p>
        </w:tc>
      </w:tr>
      <w:tr w:rsidR="004B0AF6" w:rsidTr="00FA1765">
        <w:trPr>
          <w:trHeight w:val="113"/>
        </w:trPr>
        <w:tc>
          <w:tcPr>
            <w:tcW w:w="454" w:type="dxa"/>
            <w:tcBorders>
              <w:left w:val="single" w:sz="12" w:space="0" w:color="auto"/>
              <w:right w:val="nil"/>
            </w:tcBorders>
          </w:tcPr>
          <w:p w:rsidR="004B0AF6" w:rsidRPr="00434578" w:rsidRDefault="004B0AF6" w:rsidP="00FA1765">
            <w:pPr>
              <w:rPr>
                <w:rFonts w:cs="Arial"/>
                <w:color w:val="000000" w:themeColor="text1"/>
                <w:sz w:val="18"/>
                <w:szCs w:val="18"/>
              </w:rPr>
            </w:pPr>
            <w:r>
              <w:rPr>
                <w:rFonts w:cs="Arial"/>
                <w:color w:val="000000" w:themeColor="text1"/>
                <w:sz w:val="18"/>
                <w:szCs w:val="18"/>
              </w:rPr>
              <w:t xml:space="preserve">3 - </w:t>
            </w:r>
          </w:p>
        </w:tc>
        <w:tc>
          <w:tcPr>
            <w:tcW w:w="13776" w:type="dxa"/>
            <w:gridSpan w:val="12"/>
            <w:tcBorders>
              <w:left w:val="nil"/>
              <w:right w:val="single" w:sz="12" w:space="0" w:color="auto"/>
            </w:tcBorders>
          </w:tcPr>
          <w:p w:rsidR="004B0AF6" w:rsidRPr="00727EF8" w:rsidRDefault="004B0AF6" w:rsidP="00FA1765">
            <w:pPr>
              <w:rPr>
                <w:rFonts w:cs="Arial"/>
                <w:color w:val="000000" w:themeColor="text1"/>
                <w:sz w:val="18"/>
                <w:szCs w:val="18"/>
              </w:rPr>
            </w:pPr>
            <w:r w:rsidRPr="00434578">
              <w:rPr>
                <w:rFonts w:cs="Arial"/>
                <w:color w:val="000000" w:themeColor="text1"/>
                <w:sz w:val="18"/>
                <w:szCs w:val="18"/>
              </w:rPr>
              <w:t xml:space="preserve">Data cleansing means that 2013 &amp; 2014 data </w:t>
            </w:r>
            <w:r>
              <w:rPr>
                <w:rFonts w:cs="Arial"/>
                <w:color w:val="000000" w:themeColor="text1"/>
                <w:sz w:val="18"/>
                <w:szCs w:val="18"/>
              </w:rPr>
              <w:t xml:space="preserve">is </w:t>
            </w:r>
            <w:r w:rsidRPr="00434578">
              <w:rPr>
                <w:rFonts w:cs="Arial"/>
                <w:color w:val="000000" w:themeColor="text1"/>
                <w:sz w:val="18"/>
                <w:szCs w:val="18"/>
              </w:rPr>
              <w:t>not directly comparable with subsequent years data</w:t>
            </w:r>
            <w:r>
              <w:rPr>
                <w:rFonts w:cs="Arial"/>
                <w:color w:val="000000" w:themeColor="text1"/>
                <w:sz w:val="18"/>
                <w:szCs w:val="18"/>
              </w:rPr>
              <w:t xml:space="preserve"> for Street Lighting</w:t>
            </w:r>
          </w:p>
        </w:tc>
      </w:tr>
      <w:tr w:rsidR="004B0AF6" w:rsidTr="00FA1765">
        <w:trPr>
          <w:trHeight w:val="113"/>
        </w:trPr>
        <w:tc>
          <w:tcPr>
            <w:tcW w:w="454" w:type="dxa"/>
            <w:tcBorders>
              <w:left w:val="single" w:sz="12" w:space="0" w:color="auto"/>
              <w:right w:val="nil"/>
            </w:tcBorders>
          </w:tcPr>
          <w:p w:rsidR="004B0AF6" w:rsidRPr="00434578" w:rsidRDefault="004B0AF6" w:rsidP="00FA1765">
            <w:pPr>
              <w:rPr>
                <w:rFonts w:cs="Arial"/>
                <w:color w:val="000000" w:themeColor="text1"/>
                <w:sz w:val="18"/>
                <w:szCs w:val="18"/>
              </w:rPr>
            </w:pPr>
            <w:r>
              <w:rPr>
                <w:rFonts w:cs="Arial"/>
                <w:color w:val="000000" w:themeColor="text1"/>
                <w:sz w:val="18"/>
                <w:szCs w:val="18"/>
              </w:rPr>
              <w:t xml:space="preserve">4 - </w:t>
            </w:r>
          </w:p>
        </w:tc>
        <w:tc>
          <w:tcPr>
            <w:tcW w:w="13776" w:type="dxa"/>
            <w:gridSpan w:val="12"/>
            <w:tcBorders>
              <w:left w:val="nil"/>
              <w:right w:val="single" w:sz="12" w:space="0" w:color="auto"/>
            </w:tcBorders>
          </w:tcPr>
          <w:p w:rsidR="004B0AF6" w:rsidRPr="00434578" w:rsidRDefault="004B0AF6" w:rsidP="00FA1765">
            <w:pPr>
              <w:rPr>
                <w:rFonts w:cs="Arial"/>
                <w:color w:val="000000" w:themeColor="text1"/>
                <w:sz w:val="18"/>
                <w:szCs w:val="18"/>
              </w:rPr>
            </w:pPr>
            <w:r>
              <w:rPr>
                <w:rFonts w:cs="Arial"/>
                <w:color w:val="000000" w:themeColor="text1"/>
                <w:sz w:val="18"/>
                <w:szCs w:val="18"/>
              </w:rPr>
              <w:t>Migration to HAMS means we data can no longer be split by road classification – condition assumed to remain unchanged.</w:t>
            </w:r>
          </w:p>
        </w:tc>
      </w:tr>
      <w:tr w:rsidR="004B0AF6" w:rsidTr="00FA1765">
        <w:trPr>
          <w:trHeight w:val="113"/>
        </w:trPr>
        <w:tc>
          <w:tcPr>
            <w:tcW w:w="454" w:type="dxa"/>
            <w:tcBorders>
              <w:left w:val="single" w:sz="12" w:space="0" w:color="auto"/>
              <w:right w:val="nil"/>
            </w:tcBorders>
          </w:tcPr>
          <w:p w:rsidR="004B0AF6" w:rsidRDefault="004B0AF6" w:rsidP="00FA1765">
            <w:pPr>
              <w:rPr>
                <w:rFonts w:cs="Arial"/>
                <w:color w:val="000000" w:themeColor="text1"/>
                <w:sz w:val="18"/>
                <w:szCs w:val="18"/>
              </w:rPr>
            </w:pPr>
            <w:r>
              <w:rPr>
                <w:rFonts w:cs="Arial"/>
                <w:color w:val="000000" w:themeColor="text1"/>
                <w:sz w:val="18"/>
                <w:szCs w:val="18"/>
              </w:rPr>
              <w:t xml:space="preserve">5 - </w:t>
            </w:r>
          </w:p>
        </w:tc>
        <w:tc>
          <w:tcPr>
            <w:tcW w:w="13776" w:type="dxa"/>
            <w:gridSpan w:val="12"/>
            <w:tcBorders>
              <w:left w:val="nil"/>
              <w:right w:val="single" w:sz="12" w:space="0" w:color="auto"/>
            </w:tcBorders>
          </w:tcPr>
          <w:p w:rsidR="004B0AF6" w:rsidRDefault="004B0AF6" w:rsidP="00FA1765">
            <w:pPr>
              <w:rPr>
                <w:rFonts w:cs="Arial"/>
                <w:color w:val="000000" w:themeColor="text1"/>
                <w:sz w:val="18"/>
                <w:szCs w:val="18"/>
              </w:rPr>
            </w:pPr>
            <w:r>
              <w:rPr>
                <w:rFonts w:cs="Arial"/>
                <w:color w:val="000000" w:themeColor="text1"/>
                <w:sz w:val="18"/>
                <w:szCs w:val="18"/>
              </w:rPr>
              <w:t>There was a delay in 2016/17 in updating traffic signal inventory as efforts were focused on keeping these installations operational.</w:t>
            </w:r>
          </w:p>
        </w:tc>
      </w:tr>
      <w:tr w:rsidR="004B0AF6" w:rsidTr="00FA1765">
        <w:trPr>
          <w:trHeight w:val="113"/>
        </w:trPr>
        <w:tc>
          <w:tcPr>
            <w:tcW w:w="454" w:type="dxa"/>
            <w:tcBorders>
              <w:left w:val="single" w:sz="12" w:space="0" w:color="auto"/>
              <w:bottom w:val="single" w:sz="12" w:space="0" w:color="auto"/>
              <w:right w:val="nil"/>
            </w:tcBorders>
          </w:tcPr>
          <w:p w:rsidR="004B0AF6" w:rsidRPr="00260070" w:rsidRDefault="004B0AF6" w:rsidP="00FA1765">
            <w:pPr>
              <w:rPr>
                <w:rFonts w:cs="Arial"/>
                <w:color w:val="000000" w:themeColor="text1"/>
                <w:sz w:val="18"/>
                <w:szCs w:val="18"/>
              </w:rPr>
            </w:pPr>
            <w:r w:rsidRPr="00260070">
              <w:rPr>
                <w:rFonts w:cs="Arial"/>
                <w:color w:val="000000" w:themeColor="text1"/>
                <w:sz w:val="18"/>
                <w:szCs w:val="18"/>
              </w:rPr>
              <w:t xml:space="preserve">6 - </w:t>
            </w:r>
          </w:p>
        </w:tc>
        <w:tc>
          <w:tcPr>
            <w:tcW w:w="13776" w:type="dxa"/>
            <w:gridSpan w:val="12"/>
            <w:tcBorders>
              <w:left w:val="nil"/>
              <w:bottom w:val="single" w:sz="12" w:space="0" w:color="auto"/>
              <w:right w:val="single" w:sz="12" w:space="0" w:color="auto"/>
            </w:tcBorders>
          </w:tcPr>
          <w:p w:rsidR="004B0AF6" w:rsidRPr="00260070" w:rsidRDefault="004B0AF6" w:rsidP="004B0AF6">
            <w:pPr>
              <w:rPr>
                <w:rFonts w:cs="Arial"/>
                <w:color w:val="000000" w:themeColor="text1"/>
                <w:sz w:val="18"/>
                <w:szCs w:val="18"/>
              </w:rPr>
            </w:pPr>
            <w:r w:rsidRPr="00260070">
              <w:rPr>
                <w:rFonts w:cs="Arial"/>
                <w:color w:val="000000" w:themeColor="text1"/>
                <w:sz w:val="18"/>
                <w:szCs w:val="18"/>
              </w:rPr>
              <w:t xml:space="preserve">The condition of the 2016/17 </w:t>
            </w:r>
            <w:r>
              <w:rPr>
                <w:rFonts w:cs="Arial"/>
                <w:color w:val="000000" w:themeColor="text1"/>
                <w:sz w:val="18"/>
                <w:szCs w:val="18"/>
              </w:rPr>
              <w:t>'</w:t>
            </w:r>
            <w:r w:rsidRPr="00260070">
              <w:rPr>
                <w:rFonts w:cs="Arial"/>
                <w:color w:val="000000" w:themeColor="text1"/>
                <w:sz w:val="18"/>
                <w:szCs w:val="18"/>
              </w:rPr>
              <w:t>A</w:t>
            </w:r>
            <w:r>
              <w:rPr>
                <w:rFonts w:cs="Arial"/>
                <w:color w:val="000000" w:themeColor="text1"/>
                <w:sz w:val="18"/>
                <w:szCs w:val="18"/>
              </w:rPr>
              <w:t>'</w:t>
            </w:r>
            <w:r w:rsidRPr="00260070">
              <w:rPr>
                <w:rFonts w:cs="Arial"/>
                <w:color w:val="000000" w:themeColor="text1"/>
                <w:sz w:val="18"/>
                <w:szCs w:val="18"/>
              </w:rPr>
              <w:t xml:space="preserve"> road network has been amended after minor errors were detected in the 2016/17 calculation</w:t>
            </w:r>
            <w:r>
              <w:rPr>
                <w:rFonts w:cs="Arial"/>
                <w:color w:val="000000" w:themeColor="text1"/>
                <w:sz w:val="18"/>
                <w:szCs w:val="18"/>
              </w:rPr>
              <w:t>, which did affect our overall score last year</w:t>
            </w:r>
          </w:p>
        </w:tc>
      </w:tr>
    </w:tbl>
    <w:p w:rsidR="00AA5C31" w:rsidRPr="00360FC4" w:rsidRDefault="00AA5C31" w:rsidP="00201402">
      <w:pPr>
        <w:spacing w:after="0"/>
        <w:jc w:val="both"/>
        <w:rPr>
          <w:rFonts w:cs="Arial"/>
          <w:color w:val="000000" w:themeColor="text1"/>
          <w:sz w:val="16"/>
          <w:szCs w:val="16"/>
        </w:rPr>
      </w:pPr>
    </w:p>
    <w:p w:rsidR="00D42C11" w:rsidRDefault="00D42C11" w:rsidP="00201402">
      <w:pPr>
        <w:spacing w:after="0"/>
        <w:jc w:val="both"/>
        <w:rPr>
          <w:rFonts w:cs="Arial"/>
          <w:color w:val="000000" w:themeColor="text1"/>
        </w:rPr>
        <w:sectPr w:rsidR="00D42C11" w:rsidSect="00276C92">
          <w:pgSz w:w="16838" w:h="11906" w:orient="landscape"/>
          <w:pgMar w:top="1134" w:right="1134" w:bottom="1134" w:left="1134" w:header="709" w:footer="709" w:gutter="0"/>
          <w:cols w:space="708"/>
          <w:docGrid w:linePitch="360"/>
        </w:sectPr>
      </w:pPr>
    </w:p>
    <w:p w:rsidR="000108F9" w:rsidRPr="0072651B" w:rsidRDefault="000108F9" w:rsidP="00101371">
      <w:pPr>
        <w:pStyle w:val="ListParagraph"/>
        <w:numPr>
          <w:ilvl w:val="0"/>
          <w:numId w:val="10"/>
        </w:numPr>
        <w:spacing w:after="0"/>
        <w:ind w:left="357" w:hanging="357"/>
        <w:rPr>
          <w:rFonts w:cs="Arial"/>
          <w:b/>
          <w:color w:val="000000" w:themeColor="text1"/>
          <w:szCs w:val="24"/>
        </w:rPr>
      </w:pPr>
      <w:r w:rsidRPr="0072651B">
        <w:rPr>
          <w:rFonts w:cs="Arial"/>
          <w:b/>
          <w:color w:val="000000" w:themeColor="text1"/>
          <w:szCs w:val="24"/>
        </w:rPr>
        <w:t>Introduction</w:t>
      </w:r>
    </w:p>
    <w:p w:rsidR="0059613A" w:rsidRPr="00285EC1" w:rsidRDefault="004465EC" w:rsidP="00BA21C9">
      <w:pPr>
        <w:autoSpaceDE w:val="0"/>
        <w:autoSpaceDN w:val="0"/>
        <w:adjustRightInd w:val="0"/>
        <w:spacing w:after="0"/>
        <w:jc w:val="both"/>
        <w:rPr>
          <w:rFonts w:eastAsia="Times New Roman" w:cs="Arial"/>
          <w:bCs/>
          <w:color w:val="000000" w:themeColor="text1"/>
          <w:szCs w:val="24"/>
          <w:lang w:val="en" w:eastAsia="en-GB"/>
        </w:rPr>
      </w:pPr>
      <w:r w:rsidRPr="00285EC1">
        <w:rPr>
          <w:rFonts w:cs="Arial"/>
          <w:color w:val="000000" w:themeColor="text1"/>
          <w:szCs w:val="24"/>
        </w:rPr>
        <w:t>The Transport Asset Management Plan</w:t>
      </w:r>
      <w:r w:rsidR="0059613A" w:rsidRPr="00285EC1">
        <w:rPr>
          <w:rFonts w:cs="Arial"/>
          <w:color w:val="000000" w:themeColor="text1"/>
          <w:szCs w:val="24"/>
        </w:rPr>
        <w:t xml:space="preserve"> (TAMP) was approved by the </w:t>
      </w:r>
      <w:r w:rsidR="00A40D83" w:rsidRPr="00285EC1">
        <w:rPr>
          <w:rFonts w:ascii="TT5ECDAEo00" w:hAnsi="TT5ECDAEo00" w:cs="TT5ECDAEo00"/>
          <w:color w:val="000000" w:themeColor="text1"/>
          <w:szCs w:val="24"/>
        </w:rPr>
        <w:t>Cabinet Member for Highways and Transport on 10</w:t>
      </w:r>
      <w:r w:rsidR="006A1F81" w:rsidRPr="00285EC1">
        <w:rPr>
          <w:rFonts w:ascii="TT5ECDB0o00" w:hAnsi="TT5ECDB0o00" w:cs="TT5ECDB0o00"/>
          <w:color w:val="000000" w:themeColor="text1"/>
          <w:sz w:val="16"/>
          <w:szCs w:val="16"/>
        </w:rPr>
        <w:t> </w:t>
      </w:r>
      <w:r w:rsidR="00A40D83" w:rsidRPr="00285EC1">
        <w:rPr>
          <w:rFonts w:ascii="TT5ECDAEo00" w:hAnsi="TT5ECDAEo00" w:cs="TT5ECDAEo00"/>
          <w:color w:val="000000" w:themeColor="text1"/>
          <w:szCs w:val="24"/>
        </w:rPr>
        <w:t xml:space="preserve">June 2014 </w:t>
      </w:r>
      <w:r w:rsidR="0059613A" w:rsidRPr="00285EC1">
        <w:rPr>
          <w:rFonts w:eastAsia="Times New Roman" w:cs="Arial"/>
          <w:bCs/>
          <w:color w:val="000000" w:themeColor="text1"/>
          <w:szCs w:val="24"/>
          <w:lang w:val="en" w:eastAsia="en-GB"/>
        </w:rPr>
        <w:t xml:space="preserve">and sets out how the </w:t>
      </w:r>
      <w:r w:rsidR="001159BD" w:rsidRPr="00285EC1">
        <w:rPr>
          <w:rFonts w:eastAsia="Times New Roman" w:cs="Arial"/>
          <w:bCs/>
          <w:color w:val="000000" w:themeColor="text1"/>
          <w:szCs w:val="24"/>
          <w:lang w:val="en" w:eastAsia="en-GB"/>
        </w:rPr>
        <w:t>County Council</w:t>
      </w:r>
      <w:r w:rsidR="0059613A" w:rsidRPr="00285EC1">
        <w:rPr>
          <w:rFonts w:eastAsia="Times New Roman" w:cs="Arial"/>
          <w:bCs/>
          <w:color w:val="000000" w:themeColor="text1"/>
          <w:szCs w:val="24"/>
          <w:lang w:val="en" w:eastAsia="en-GB"/>
        </w:rPr>
        <w:t xml:space="preserve"> intends to manage its transport assets over the 15 year</w:t>
      </w:r>
      <w:r w:rsidR="001159BD" w:rsidRPr="00285EC1">
        <w:rPr>
          <w:rFonts w:eastAsia="Times New Roman" w:cs="Arial"/>
          <w:bCs/>
          <w:color w:val="000000" w:themeColor="text1"/>
          <w:szCs w:val="24"/>
          <w:lang w:val="en" w:eastAsia="en-GB"/>
        </w:rPr>
        <w:t xml:space="preserve"> period from 2015/16 to 2029/30</w:t>
      </w:r>
      <w:r w:rsidR="0059613A" w:rsidRPr="00285EC1">
        <w:rPr>
          <w:rFonts w:eastAsia="Times New Roman" w:cs="Arial"/>
          <w:bCs/>
          <w:color w:val="000000" w:themeColor="text1"/>
          <w:szCs w:val="24"/>
          <w:lang w:val="en" w:eastAsia="en-GB"/>
        </w:rPr>
        <w:t>.</w:t>
      </w:r>
    </w:p>
    <w:p w:rsidR="0059613A" w:rsidRPr="00285EC1" w:rsidRDefault="0059613A" w:rsidP="00BA21C9">
      <w:pPr>
        <w:autoSpaceDE w:val="0"/>
        <w:autoSpaceDN w:val="0"/>
        <w:adjustRightInd w:val="0"/>
        <w:spacing w:after="0"/>
        <w:jc w:val="both"/>
        <w:rPr>
          <w:rFonts w:eastAsia="Times New Roman" w:cs="Arial"/>
          <w:bCs/>
          <w:color w:val="000000" w:themeColor="text1"/>
          <w:szCs w:val="24"/>
          <w:lang w:val="en" w:eastAsia="en-GB"/>
        </w:rPr>
      </w:pPr>
    </w:p>
    <w:p w:rsidR="00DD28F0" w:rsidRPr="00285EC1" w:rsidRDefault="00DD28F0" w:rsidP="00BA21C9">
      <w:pPr>
        <w:autoSpaceDE w:val="0"/>
        <w:autoSpaceDN w:val="0"/>
        <w:adjustRightInd w:val="0"/>
        <w:spacing w:after="0"/>
        <w:jc w:val="both"/>
        <w:rPr>
          <w:rFonts w:eastAsia="Times New Roman" w:cs="Arial"/>
          <w:bCs/>
          <w:color w:val="000000" w:themeColor="text1"/>
          <w:szCs w:val="24"/>
          <w:lang w:val="en" w:eastAsia="en-GB"/>
        </w:rPr>
      </w:pPr>
      <w:r w:rsidRPr="00285EC1">
        <w:rPr>
          <w:rFonts w:eastAsia="Times New Roman" w:cs="Arial"/>
          <w:bCs/>
          <w:color w:val="000000" w:themeColor="text1"/>
          <w:szCs w:val="24"/>
          <w:lang w:val="en" w:eastAsia="en-GB"/>
        </w:rPr>
        <w:t xml:space="preserve">In order that the TAMP can remain a live and current document it is intended to </w:t>
      </w:r>
      <w:r w:rsidR="00091EEC" w:rsidRPr="00285EC1">
        <w:rPr>
          <w:rFonts w:eastAsia="Times New Roman" w:cs="Arial"/>
          <w:bCs/>
          <w:color w:val="000000" w:themeColor="text1"/>
          <w:szCs w:val="24"/>
          <w:lang w:val="en" w:eastAsia="en-GB"/>
        </w:rPr>
        <w:t xml:space="preserve">provide </w:t>
      </w:r>
      <w:r w:rsidRPr="00285EC1">
        <w:rPr>
          <w:rFonts w:eastAsia="Times New Roman" w:cs="Arial"/>
          <w:bCs/>
          <w:color w:val="000000" w:themeColor="text1"/>
          <w:szCs w:val="24"/>
          <w:lang w:val="en" w:eastAsia="en-GB"/>
        </w:rPr>
        <w:t>annual update</w:t>
      </w:r>
      <w:r w:rsidR="00091EEC" w:rsidRPr="00285EC1">
        <w:rPr>
          <w:rFonts w:eastAsia="Times New Roman" w:cs="Arial"/>
          <w:bCs/>
          <w:color w:val="000000" w:themeColor="text1"/>
          <w:szCs w:val="24"/>
          <w:lang w:val="en" w:eastAsia="en-GB"/>
        </w:rPr>
        <w:t>s</w:t>
      </w:r>
      <w:r w:rsidRPr="00285EC1">
        <w:rPr>
          <w:rFonts w:eastAsia="Times New Roman" w:cs="Arial"/>
          <w:bCs/>
          <w:color w:val="000000" w:themeColor="text1"/>
          <w:szCs w:val="24"/>
          <w:lang w:val="en" w:eastAsia="en-GB"/>
        </w:rPr>
        <w:t xml:space="preserve"> which </w:t>
      </w:r>
      <w:r w:rsidR="00091EEC" w:rsidRPr="00285EC1">
        <w:rPr>
          <w:rFonts w:eastAsia="Times New Roman" w:cs="Arial"/>
          <w:bCs/>
          <w:color w:val="000000" w:themeColor="text1"/>
          <w:szCs w:val="24"/>
          <w:lang w:val="en" w:eastAsia="en-GB"/>
        </w:rPr>
        <w:t>contain</w:t>
      </w:r>
      <w:r w:rsidRPr="00285EC1">
        <w:rPr>
          <w:rFonts w:eastAsia="Times New Roman" w:cs="Arial"/>
          <w:bCs/>
          <w:color w:val="000000" w:themeColor="text1"/>
          <w:szCs w:val="24"/>
          <w:lang w:val="en" w:eastAsia="en-GB"/>
        </w:rPr>
        <w:t xml:space="preserve"> </w:t>
      </w:r>
      <w:r w:rsidR="00091EEC" w:rsidRPr="00285EC1">
        <w:rPr>
          <w:rFonts w:eastAsia="Times New Roman" w:cs="Arial"/>
          <w:bCs/>
          <w:color w:val="000000" w:themeColor="text1"/>
          <w:szCs w:val="24"/>
          <w:lang w:val="en" w:eastAsia="en-GB"/>
        </w:rPr>
        <w:t xml:space="preserve">additional </w:t>
      </w:r>
      <w:r w:rsidRPr="00285EC1">
        <w:rPr>
          <w:rFonts w:eastAsia="Times New Roman" w:cs="Arial"/>
          <w:bCs/>
          <w:color w:val="000000" w:themeColor="text1"/>
          <w:szCs w:val="24"/>
          <w:lang w:val="en" w:eastAsia="en-GB"/>
        </w:rPr>
        <w:t xml:space="preserve">information </w:t>
      </w:r>
      <w:r w:rsidR="00146DD2" w:rsidRPr="00285EC1">
        <w:rPr>
          <w:rFonts w:eastAsia="Times New Roman" w:cs="Arial"/>
          <w:bCs/>
          <w:color w:val="000000" w:themeColor="text1"/>
          <w:szCs w:val="24"/>
          <w:lang w:val="en" w:eastAsia="en-GB"/>
        </w:rPr>
        <w:t>to supplement the TAMP.  It is intended that the</w:t>
      </w:r>
      <w:r w:rsidR="00091EEC" w:rsidRPr="00285EC1">
        <w:rPr>
          <w:rFonts w:eastAsia="Times New Roman" w:cs="Arial"/>
          <w:bCs/>
          <w:color w:val="000000" w:themeColor="text1"/>
          <w:szCs w:val="24"/>
          <w:lang w:val="en" w:eastAsia="en-GB"/>
        </w:rPr>
        <w:t xml:space="preserve">se </w:t>
      </w:r>
      <w:r w:rsidR="00146DD2" w:rsidRPr="00285EC1">
        <w:rPr>
          <w:rFonts w:eastAsia="Times New Roman" w:cs="Arial"/>
          <w:bCs/>
          <w:color w:val="000000" w:themeColor="text1"/>
          <w:szCs w:val="24"/>
          <w:lang w:val="en" w:eastAsia="en-GB"/>
        </w:rPr>
        <w:t>update</w:t>
      </w:r>
      <w:r w:rsidR="00091EEC" w:rsidRPr="00285EC1">
        <w:rPr>
          <w:rFonts w:eastAsia="Times New Roman" w:cs="Arial"/>
          <w:bCs/>
          <w:color w:val="000000" w:themeColor="text1"/>
          <w:szCs w:val="24"/>
          <w:lang w:val="en" w:eastAsia="en-GB"/>
        </w:rPr>
        <w:t>s</w:t>
      </w:r>
      <w:r w:rsidR="00146DD2" w:rsidRPr="00285EC1">
        <w:rPr>
          <w:rFonts w:eastAsia="Times New Roman" w:cs="Arial"/>
          <w:bCs/>
          <w:color w:val="000000" w:themeColor="text1"/>
          <w:szCs w:val="24"/>
          <w:lang w:val="en" w:eastAsia="en-GB"/>
        </w:rPr>
        <w:t xml:space="preserve"> will provide</w:t>
      </w:r>
      <w:r w:rsidR="00452775" w:rsidRPr="00285EC1">
        <w:rPr>
          <w:rFonts w:eastAsia="Times New Roman" w:cs="Arial"/>
          <w:bCs/>
          <w:color w:val="000000" w:themeColor="text1"/>
          <w:szCs w:val="24"/>
          <w:lang w:val="en" w:eastAsia="en-GB"/>
        </w:rPr>
        <w:t xml:space="preserve"> a summary of </w:t>
      </w:r>
      <w:r w:rsidR="00091EEC" w:rsidRPr="00285EC1">
        <w:rPr>
          <w:rFonts w:eastAsia="Times New Roman" w:cs="Arial"/>
          <w:bCs/>
          <w:color w:val="000000" w:themeColor="text1"/>
          <w:szCs w:val="24"/>
          <w:lang w:val="en" w:eastAsia="en-GB"/>
        </w:rPr>
        <w:t xml:space="preserve">external pressures </w:t>
      </w:r>
      <w:r w:rsidR="00452775" w:rsidRPr="00285EC1">
        <w:rPr>
          <w:rFonts w:eastAsia="Times New Roman" w:cs="Arial"/>
          <w:bCs/>
          <w:color w:val="000000" w:themeColor="text1"/>
          <w:szCs w:val="24"/>
          <w:lang w:val="en" w:eastAsia="en-GB"/>
        </w:rPr>
        <w:t xml:space="preserve">within the highway sector </w:t>
      </w:r>
      <w:r w:rsidR="00091EEC" w:rsidRPr="00285EC1">
        <w:rPr>
          <w:rFonts w:eastAsia="Times New Roman" w:cs="Arial"/>
          <w:bCs/>
          <w:color w:val="000000" w:themeColor="text1"/>
          <w:szCs w:val="24"/>
          <w:lang w:val="en" w:eastAsia="en-GB"/>
        </w:rPr>
        <w:t xml:space="preserve">and internal initiatives </w:t>
      </w:r>
      <w:r w:rsidR="00452775" w:rsidRPr="00285EC1">
        <w:rPr>
          <w:rFonts w:eastAsia="Times New Roman" w:cs="Arial"/>
          <w:bCs/>
          <w:color w:val="000000" w:themeColor="text1"/>
          <w:szCs w:val="24"/>
          <w:lang w:val="en" w:eastAsia="en-GB"/>
        </w:rPr>
        <w:t xml:space="preserve">that will </w:t>
      </w:r>
      <w:r w:rsidR="00091EEC" w:rsidRPr="00285EC1">
        <w:rPr>
          <w:rFonts w:eastAsia="Times New Roman" w:cs="Arial"/>
          <w:bCs/>
          <w:color w:val="000000" w:themeColor="text1"/>
          <w:szCs w:val="24"/>
          <w:lang w:val="en" w:eastAsia="en-GB"/>
        </w:rPr>
        <w:t>impact</w:t>
      </w:r>
      <w:r w:rsidR="00452775" w:rsidRPr="00285EC1">
        <w:rPr>
          <w:rFonts w:eastAsia="Times New Roman" w:cs="Arial"/>
          <w:bCs/>
          <w:color w:val="000000" w:themeColor="text1"/>
          <w:szCs w:val="24"/>
          <w:lang w:val="en" w:eastAsia="en-GB"/>
        </w:rPr>
        <w:t xml:space="preserve"> of the County Councils highway and transport asset networ</w:t>
      </w:r>
      <w:r w:rsidR="00091EEC" w:rsidRPr="00285EC1">
        <w:rPr>
          <w:rFonts w:eastAsia="Times New Roman" w:cs="Arial"/>
          <w:bCs/>
          <w:color w:val="000000" w:themeColor="text1"/>
          <w:szCs w:val="24"/>
          <w:lang w:val="en" w:eastAsia="en-GB"/>
        </w:rPr>
        <w:t xml:space="preserve">k.  </w:t>
      </w:r>
      <w:r w:rsidR="00452775" w:rsidRPr="00285EC1">
        <w:rPr>
          <w:rFonts w:eastAsia="Times New Roman" w:cs="Arial"/>
          <w:bCs/>
          <w:color w:val="000000" w:themeColor="text1"/>
          <w:szCs w:val="24"/>
          <w:lang w:val="en" w:eastAsia="en-GB"/>
        </w:rPr>
        <w:t xml:space="preserve">This update includes </w:t>
      </w:r>
      <w:r w:rsidR="00146DD2" w:rsidRPr="00285EC1">
        <w:rPr>
          <w:rFonts w:eastAsia="Times New Roman" w:cs="Arial"/>
          <w:bCs/>
          <w:color w:val="000000" w:themeColor="text1"/>
          <w:szCs w:val="24"/>
          <w:lang w:val="en" w:eastAsia="en-GB"/>
        </w:rPr>
        <w:t xml:space="preserve">information </w:t>
      </w:r>
      <w:r w:rsidRPr="00285EC1">
        <w:rPr>
          <w:rFonts w:eastAsia="Times New Roman" w:cs="Arial"/>
          <w:bCs/>
          <w:color w:val="000000" w:themeColor="text1"/>
          <w:szCs w:val="24"/>
          <w:lang w:val="en" w:eastAsia="en-GB"/>
        </w:rPr>
        <w:t>relating to:-</w:t>
      </w:r>
    </w:p>
    <w:p w:rsidR="00DD28F0" w:rsidRPr="00285EC1" w:rsidRDefault="00DD28F0" w:rsidP="00BA21C9">
      <w:pPr>
        <w:autoSpaceDE w:val="0"/>
        <w:autoSpaceDN w:val="0"/>
        <w:adjustRightInd w:val="0"/>
        <w:spacing w:after="0"/>
        <w:jc w:val="both"/>
        <w:rPr>
          <w:rFonts w:eastAsia="Times New Roman" w:cs="Arial"/>
          <w:bCs/>
          <w:color w:val="000000" w:themeColor="text1"/>
          <w:szCs w:val="24"/>
          <w:lang w:val="en" w:eastAsia="en-GB"/>
        </w:rPr>
      </w:pPr>
    </w:p>
    <w:p w:rsidR="00123170" w:rsidRPr="00285EC1" w:rsidRDefault="00123170" w:rsidP="00E72B3C">
      <w:pPr>
        <w:pStyle w:val="ListParagraph"/>
        <w:numPr>
          <w:ilvl w:val="0"/>
          <w:numId w:val="44"/>
        </w:numPr>
        <w:autoSpaceDE w:val="0"/>
        <w:autoSpaceDN w:val="0"/>
        <w:adjustRightInd w:val="0"/>
        <w:spacing w:after="0"/>
        <w:jc w:val="both"/>
        <w:rPr>
          <w:rFonts w:eastAsia="Times New Roman" w:cs="Arial"/>
          <w:bCs/>
          <w:color w:val="000000" w:themeColor="text1"/>
          <w:szCs w:val="24"/>
          <w:lang w:val="en" w:eastAsia="en-GB"/>
        </w:rPr>
      </w:pPr>
      <w:r w:rsidRPr="00285EC1">
        <w:rPr>
          <w:rFonts w:eastAsia="Times New Roman" w:cs="Arial"/>
          <w:bCs/>
          <w:color w:val="000000" w:themeColor="text1"/>
          <w:szCs w:val="24"/>
          <w:lang w:val="en" w:eastAsia="en-GB"/>
        </w:rPr>
        <w:t xml:space="preserve">TAMP </w:t>
      </w:r>
      <w:r w:rsidR="0059398F" w:rsidRPr="00285EC1">
        <w:rPr>
          <w:rFonts w:eastAsia="Times New Roman" w:cs="Arial"/>
          <w:bCs/>
          <w:color w:val="000000" w:themeColor="text1"/>
          <w:szCs w:val="24"/>
          <w:lang w:val="en" w:eastAsia="en-GB"/>
        </w:rPr>
        <w:t xml:space="preserve">Phase 2 </w:t>
      </w:r>
      <w:r w:rsidRPr="00285EC1">
        <w:rPr>
          <w:rFonts w:eastAsia="Times New Roman" w:cs="Arial"/>
          <w:bCs/>
          <w:color w:val="000000" w:themeColor="text1"/>
          <w:szCs w:val="24"/>
          <w:lang w:val="en" w:eastAsia="en-GB"/>
        </w:rPr>
        <w:t>Review</w:t>
      </w:r>
    </w:p>
    <w:p w:rsidR="001159BD" w:rsidRPr="00285EC1" w:rsidRDefault="00AB2033" w:rsidP="00E72B3C">
      <w:pPr>
        <w:pStyle w:val="ListParagraph"/>
        <w:numPr>
          <w:ilvl w:val="0"/>
          <w:numId w:val="44"/>
        </w:numPr>
        <w:autoSpaceDE w:val="0"/>
        <w:autoSpaceDN w:val="0"/>
        <w:adjustRightInd w:val="0"/>
        <w:spacing w:after="0"/>
        <w:jc w:val="both"/>
        <w:rPr>
          <w:rFonts w:eastAsia="Times New Roman" w:cs="Arial"/>
          <w:bCs/>
          <w:color w:val="000000" w:themeColor="text1"/>
          <w:szCs w:val="24"/>
          <w:lang w:val="en" w:eastAsia="en-GB"/>
        </w:rPr>
      </w:pPr>
      <w:r w:rsidRPr="00285EC1">
        <w:rPr>
          <w:rFonts w:eastAsia="Times New Roman" w:cs="Arial"/>
          <w:bCs/>
          <w:color w:val="000000" w:themeColor="text1"/>
          <w:szCs w:val="24"/>
          <w:lang w:val="en" w:eastAsia="en-GB"/>
        </w:rPr>
        <w:t>DfT Self-Assessment Questionnaire</w:t>
      </w:r>
      <w:r w:rsidR="005A2F6E" w:rsidRPr="00285EC1">
        <w:rPr>
          <w:rFonts w:eastAsia="Times New Roman" w:cs="Arial"/>
          <w:bCs/>
          <w:color w:val="000000" w:themeColor="text1"/>
          <w:szCs w:val="24"/>
          <w:lang w:val="en" w:eastAsia="en-GB"/>
        </w:rPr>
        <w:t>,</w:t>
      </w:r>
    </w:p>
    <w:p w:rsidR="007C0C59" w:rsidRDefault="00B36AB8" w:rsidP="00E72B3C">
      <w:pPr>
        <w:pStyle w:val="ListParagraph"/>
        <w:numPr>
          <w:ilvl w:val="0"/>
          <w:numId w:val="44"/>
        </w:numPr>
        <w:autoSpaceDE w:val="0"/>
        <w:autoSpaceDN w:val="0"/>
        <w:adjustRightInd w:val="0"/>
        <w:spacing w:after="0"/>
        <w:jc w:val="both"/>
        <w:rPr>
          <w:rFonts w:eastAsia="Times New Roman" w:cs="Arial"/>
          <w:bCs/>
          <w:color w:val="000000" w:themeColor="text1"/>
          <w:szCs w:val="24"/>
          <w:lang w:val="en" w:eastAsia="en-GB"/>
        </w:rPr>
      </w:pPr>
      <w:r w:rsidRPr="00285EC1">
        <w:rPr>
          <w:rFonts w:eastAsia="Times New Roman" w:cs="Arial"/>
          <w:bCs/>
          <w:color w:val="000000" w:themeColor="text1"/>
          <w:szCs w:val="24"/>
          <w:lang w:val="en" w:eastAsia="en-GB"/>
        </w:rPr>
        <w:t>Consideration of the Well Managed Highways Infrastructure Code of Practice</w:t>
      </w:r>
      <w:r w:rsidR="00772F13" w:rsidRPr="00285EC1">
        <w:rPr>
          <w:rFonts w:eastAsia="Times New Roman" w:cs="Arial"/>
          <w:bCs/>
          <w:color w:val="000000" w:themeColor="text1"/>
          <w:szCs w:val="24"/>
          <w:lang w:val="en" w:eastAsia="en-GB"/>
        </w:rPr>
        <w:t>,</w:t>
      </w:r>
    </w:p>
    <w:p w:rsidR="00FE2D95" w:rsidRPr="00285EC1" w:rsidRDefault="00FE2D95" w:rsidP="00E72B3C">
      <w:pPr>
        <w:pStyle w:val="ListParagraph"/>
        <w:numPr>
          <w:ilvl w:val="0"/>
          <w:numId w:val="44"/>
        </w:num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Se</w:t>
      </w:r>
      <w:r w:rsidR="00FD6A1E">
        <w:rPr>
          <w:rFonts w:eastAsia="Times New Roman" w:cs="Arial"/>
          <w:bCs/>
          <w:color w:val="000000" w:themeColor="text1"/>
          <w:szCs w:val="24"/>
          <w:lang w:val="en" w:eastAsia="en-GB"/>
        </w:rPr>
        <w:t xml:space="preserve">rvice Standard </w:t>
      </w:r>
      <w:r w:rsidR="00FD6A1E" w:rsidRPr="00FD6A1E">
        <w:rPr>
          <w:rFonts w:eastAsia="Times New Roman" w:cs="Arial"/>
          <w:bCs/>
          <w:color w:val="000000" w:themeColor="text1"/>
          <w:szCs w:val="24"/>
          <w:lang w:val="en" w:eastAsia="en-GB"/>
        </w:rPr>
        <w:t>U</w:t>
      </w:r>
      <w:r w:rsidR="00FD6A1E">
        <w:rPr>
          <w:rFonts w:eastAsia="Times New Roman" w:cs="Arial"/>
          <w:bCs/>
          <w:color w:val="000000" w:themeColor="text1"/>
          <w:szCs w:val="24"/>
          <w:lang w:val="en" w:eastAsia="en-GB"/>
        </w:rPr>
        <w:t>pdate</w:t>
      </w:r>
    </w:p>
    <w:p w:rsidR="006A4F18" w:rsidRPr="00285EC1" w:rsidRDefault="00B36AB8" w:rsidP="00E72B3C">
      <w:pPr>
        <w:pStyle w:val="ListParagraph"/>
        <w:numPr>
          <w:ilvl w:val="0"/>
          <w:numId w:val="44"/>
        </w:numPr>
        <w:autoSpaceDE w:val="0"/>
        <w:autoSpaceDN w:val="0"/>
        <w:adjustRightInd w:val="0"/>
        <w:spacing w:after="0"/>
        <w:jc w:val="both"/>
        <w:rPr>
          <w:rFonts w:eastAsia="Times New Roman" w:cs="Arial"/>
          <w:bCs/>
          <w:color w:val="000000" w:themeColor="text1"/>
          <w:szCs w:val="24"/>
          <w:lang w:val="en" w:eastAsia="en-GB"/>
        </w:rPr>
      </w:pPr>
      <w:r w:rsidRPr="00285EC1">
        <w:rPr>
          <w:rFonts w:eastAsia="Times New Roman" w:cs="Arial"/>
          <w:bCs/>
          <w:color w:val="000000" w:themeColor="text1"/>
          <w:szCs w:val="24"/>
          <w:lang w:val="en" w:eastAsia="en-GB"/>
        </w:rPr>
        <w:t>Highway Management Plan</w:t>
      </w:r>
    </w:p>
    <w:p w:rsidR="00146DD2" w:rsidRPr="00285EC1" w:rsidRDefault="00452775" w:rsidP="00E72B3C">
      <w:pPr>
        <w:pStyle w:val="ListParagraph"/>
        <w:numPr>
          <w:ilvl w:val="0"/>
          <w:numId w:val="44"/>
        </w:numPr>
        <w:autoSpaceDE w:val="0"/>
        <w:autoSpaceDN w:val="0"/>
        <w:adjustRightInd w:val="0"/>
        <w:spacing w:after="0"/>
        <w:jc w:val="both"/>
        <w:rPr>
          <w:rFonts w:eastAsia="Times New Roman" w:cs="Arial"/>
          <w:bCs/>
          <w:color w:val="000000" w:themeColor="text1"/>
          <w:szCs w:val="24"/>
          <w:lang w:val="en" w:eastAsia="en-GB"/>
        </w:rPr>
      </w:pPr>
      <w:r w:rsidRPr="00285EC1">
        <w:rPr>
          <w:rFonts w:eastAsia="Times New Roman" w:cs="Arial"/>
          <w:bCs/>
          <w:color w:val="000000" w:themeColor="text1"/>
          <w:szCs w:val="24"/>
          <w:lang w:val="en" w:eastAsia="en-GB"/>
        </w:rPr>
        <w:t>R</w:t>
      </w:r>
      <w:r w:rsidR="00146DD2" w:rsidRPr="00285EC1">
        <w:rPr>
          <w:rFonts w:eastAsia="Times New Roman" w:cs="Arial"/>
          <w:bCs/>
          <w:color w:val="000000" w:themeColor="text1"/>
          <w:szCs w:val="24"/>
          <w:lang w:val="en" w:eastAsia="en-GB"/>
        </w:rPr>
        <w:t>evised asset condition data,</w:t>
      </w:r>
    </w:p>
    <w:p w:rsidR="001159BD" w:rsidRPr="00285EC1" w:rsidRDefault="001159BD" w:rsidP="00BA21C9">
      <w:pPr>
        <w:autoSpaceDE w:val="0"/>
        <w:autoSpaceDN w:val="0"/>
        <w:adjustRightInd w:val="0"/>
        <w:spacing w:after="0"/>
        <w:jc w:val="both"/>
        <w:rPr>
          <w:rFonts w:eastAsia="Times New Roman" w:cs="Arial"/>
          <w:bCs/>
          <w:color w:val="000000" w:themeColor="text1"/>
          <w:szCs w:val="24"/>
          <w:lang w:val="en" w:eastAsia="en-GB"/>
        </w:rPr>
      </w:pPr>
    </w:p>
    <w:p w:rsidR="00D141ED" w:rsidRPr="00285EC1" w:rsidRDefault="00D141ED" w:rsidP="00101371">
      <w:pPr>
        <w:pStyle w:val="ListParagraph"/>
        <w:numPr>
          <w:ilvl w:val="0"/>
          <w:numId w:val="10"/>
        </w:numPr>
        <w:autoSpaceDE w:val="0"/>
        <w:autoSpaceDN w:val="0"/>
        <w:adjustRightInd w:val="0"/>
        <w:spacing w:after="0"/>
        <w:jc w:val="both"/>
        <w:rPr>
          <w:rFonts w:eastAsia="Times New Roman" w:cs="Arial"/>
          <w:b/>
          <w:bCs/>
          <w:color w:val="000000" w:themeColor="text1"/>
          <w:szCs w:val="24"/>
          <w:lang w:val="en" w:eastAsia="en-GB"/>
        </w:rPr>
      </w:pPr>
      <w:r w:rsidRPr="00285EC1">
        <w:rPr>
          <w:rFonts w:eastAsia="Times New Roman" w:cs="Arial"/>
          <w:b/>
          <w:bCs/>
          <w:color w:val="000000" w:themeColor="text1"/>
          <w:szCs w:val="24"/>
          <w:lang w:val="en" w:eastAsia="en-GB"/>
        </w:rPr>
        <w:t xml:space="preserve">TAMP </w:t>
      </w:r>
      <w:r w:rsidR="00260070">
        <w:rPr>
          <w:rFonts w:eastAsia="Times New Roman" w:cs="Arial"/>
          <w:b/>
          <w:bCs/>
          <w:color w:val="000000" w:themeColor="text1"/>
          <w:szCs w:val="24"/>
          <w:lang w:val="en" w:eastAsia="en-GB"/>
        </w:rPr>
        <w:t>P</w:t>
      </w:r>
      <w:r w:rsidR="0059398F" w:rsidRPr="00285EC1">
        <w:rPr>
          <w:rFonts w:eastAsia="Times New Roman" w:cs="Arial"/>
          <w:b/>
          <w:bCs/>
          <w:color w:val="000000" w:themeColor="text1"/>
          <w:szCs w:val="24"/>
          <w:lang w:val="en" w:eastAsia="en-GB"/>
        </w:rPr>
        <w:t xml:space="preserve">hase 2 </w:t>
      </w:r>
      <w:r w:rsidRPr="00285EC1">
        <w:rPr>
          <w:rFonts w:eastAsia="Times New Roman" w:cs="Arial"/>
          <w:b/>
          <w:bCs/>
          <w:color w:val="000000" w:themeColor="text1"/>
          <w:szCs w:val="24"/>
          <w:lang w:val="en" w:eastAsia="en-GB"/>
        </w:rPr>
        <w:t>Review</w:t>
      </w:r>
    </w:p>
    <w:p w:rsidR="003C7E6C" w:rsidRPr="00285EC1" w:rsidRDefault="0059398F" w:rsidP="003C7E6C">
      <w:pPr>
        <w:autoSpaceDE w:val="0"/>
        <w:autoSpaceDN w:val="0"/>
        <w:adjustRightInd w:val="0"/>
        <w:spacing w:after="0"/>
        <w:jc w:val="both"/>
        <w:rPr>
          <w:rFonts w:eastAsia="Times New Roman" w:cs="Arial"/>
          <w:bCs/>
          <w:color w:val="000000" w:themeColor="text1"/>
          <w:szCs w:val="24"/>
          <w:lang w:eastAsia="en-GB"/>
        </w:rPr>
      </w:pPr>
      <w:r w:rsidRPr="00285EC1">
        <w:rPr>
          <w:rFonts w:eastAsia="Times New Roman" w:cs="Arial"/>
          <w:bCs/>
          <w:color w:val="000000" w:themeColor="text1"/>
          <w:szCs w:val="24"/>
          <w:lang w:val="en-US" w:eastAsia="en-GB"/>
        </w:rPr>
        <w:t>T</w:t>
      </w:r>
      <w:r w:rsidR="003C7E6C" w:rsidRPr="00285EC1">
        <w:rPr>
          <w:rFonts w:eastAsia="Times New Roman" w:cs="Arial"/>
          <w:bCs/>
          <w:color w:val="000000" w:themeColor="text1"/>
          <w:szCs w:val="24"/>
          <w:lang w:val="en-US" w:eastAsia="en-GB"/>
        </w:rPr>
        <w:t>he second phase of the TAMP is due to start in April 2020. The priorities for Phase 1 concentrated resources on the A, B and C road and footway networks whilst maintaining our other transport assets as close to their 2013 condition as resources will allow.</w:t>
      </w:r>
    </w:p>
    <w:p w:rsidR="003C7E6C" w:rsidRPr="00285EC1" w:rsidRDefault="003C7E6C" w:rsidP="003C7E6C">
      <w:pPr>
        <w:autoSpaceDE w:val="0"/>
        <w:autoSpaceDN w:val="0"/>
        <w:adjustRightInd w:val="0"/>
        <w:spacing w:after="0"/>
        <w:jc w:val="both"/>
        <w:rPr>
          <w:rFonts w:eastAsia="Times New Roman" w:cs="Arial"/>
          <w:bCs/>
          <w:color w:val="000000" w:themeColor="text1"/>
          <w:szCs w:val="24"/>
          <w:lang w:eastAsia="en-GB"/>
        </w:rPr>
      </w:pPr>
      <w:r w:rsidRPr="00285EC1">
        <w:rPr>
          <w:rFonts w:eastAsia="Times New Roman" w:cs="Arial"/>
          <w:bCs/>
          <w:color w:val="000000" w:themeColor="text1"/>
          <w:szCs w:val="24"/>
          <w:lang w:val="en-US" w:eastAsia="en-GB"/>
        </w:rPr>
        <w:t xml:space="preserve"> </w:t>
      </w:r>
    </w:p>
    <w:p w:rsidR="003C7E6C" w:rsidRPr="00285EC1" w:rsidRDefault="003C7E6C" w:rsidP="003C7E6C">
      <w:pPr>
        <w:autoSpaceDE w:val="0"/>
        <w:autoSpaceDN w:val="0"/>
        <w:adjustRightInd w:val="0"/>
        <w:spacing w:after="0"/>
        <w:jc w:val="both"/>
        <w:rPr>
          <w:rFonts w:eastAsia="Times New Roman" w:cs="Arial"/>
          <w:bCs/>
          <w:color w:val="000000" w:themeColor="text1"/>
          <w:szCs w:val="24"/>
          <w:lang w:val="en-US" w:eastAsia="en-GB"/>
        </w:rPr>
      </w:pPr>
      <w:r w:rsidRPr="00285EC1">
        <w:rPr>
          <w:rFonts w:eastAsia="Times New Roman" w:cs="Arial"/>
          <w:bCs/>
          <w:color w:val="000000" w:themeColor="text1"/>
          <w:szCs w:val="24"/>
          <w:lang w:val="en-US" w:eastAsia="en-GB"/>
        </w:rPr>
        <w:t xml:space="preserve">Phases 2 is intended to focus on the </w:t>
      </w:r>
      <w:r w:rsidR="005D2668">
        <w:rPr>
          <w:rFonts w:eastAsia="Times New Roman" w:cs="Arial"/>
          <w:bCs/>
          <w:color w:val="000000" w:themeColor="text1"/>
          <w:szCs w:val="24"/>
          <w:lang w:val="en-US" w:eastAsia="en-GB"/>
        </w:rPr>
        <w:t>u</w:t>
      </w:r>
      <w:r w:rsidRPr="00285EC1">
        <w:rPr>
          <w:rFonts w:eastAsia="Times New Roman" w:cs="Arial"/>
          <w:bCs/>
          <w:color w:val="000000" w:themeColor="text1"/>
          <w:szCs w:val="24"/>
          <w:lang w:val="en-US" w:eastAsia="en-GB"/>
        </w:rPr>
        <w:t xml:space="preserve">nclassified </w:t>
      </w:r>
      <w:r w:rsidR="00285EC1" w:rsidRPr="00285EC1">
        <w:rPr>
          <w:rFonts w:eastAsia="Times New Roman" w:cs="Arial"/>
          <w:bCs/>
          <w:color w:val="000000" w:themeColor="text1"/>
          <w:szCs w:val="24"/>
          <w:lang w:val="en-US" w:eastAsia="en-GB"/>
        </w:rPr>
        <w:t>r</w:t>
      </w:r>
      <w:r w:rsidRPr="00285EC1">
        <w:rPr>
          <w:rFonts w:eastAsia="Times New Roman" w:cs="Arial"/>
          <w:bCs/>
          <w:color w:val="000000" w:themeColor="text1"/>
          <w:szCs w:val="24"/>
          <w:lang w:val="en-US" w:eastAsia="en-GB"/>
        </w:rPr>
        <w:t xml:space="preserve">oad </w:t>
      </w:r>
      <w:r w:rsidR="00285EC1" w:rsidRPr="00285EC1">
        <w:rPr>
          <w:rFonts w:eastAsia="Times New Roman" w:cs="Arial"/>
          <w:bCs/>
          <w:color w:val="000000" w:themeColor="text1"/>
          <w:szCs w:val="24"/>
          <w:lang w:val="en-US" w:eastAsia="en-GB"/>
        </w:rPr>
        <w:t>n</w:t>
      </w:r>
      <w:r w:rsidRPr="00285EC1">
        <w:rPr>
          <w:rFonts w:eastAsia="Times New Roman" w:cs="Arial"/>
          <w:bCs/>
          <w:color w:val="000000" w:themeColor="text1"/>
          <w:szCs w:val="24"/>
          <w:lang w:val="en-US" w:eastAsia="en-GB"/>
        </w:rPr>
        <w:t xml:space="preserve">etwork </w:t>
      </w:r>
      <w:r w:rsidR="00285EC1" w:rsidRPr="00285EC1">
        <w:rPr>
          <w:rFonts w:eastAsia="Times New Roman" w:cs="Arial"/>
          <w:bCs/>
          <w:color w:val="000000" w:themeColor="text1"/>
          <w:szCs w:val="24"/>
          <w:lang w:val="en-US" w:eastAsia="en-GB"/>
        </w:rPr>
        <w:t xml:space="preserve">whilst Phase 3 will target </w:t>
      </w:r>
      <w:r w:rsidRPr="00285EC1">
        <w:rPr>
          <w:rFonts w:eastAsia="Times New Roman" w:cs="Arial"/>
          <w:bCs/>
          <w:color w:val="000000" w:themeColor="text1"/>
          <w:szCs w:val="24"/>
          <w:lang w:val="en-US" w:eastAsia="en-GB"/>
        </w:rPr>
        <w:t>Structures, Street Lighting and Drainage priorities.</w:t>
      </w:r>
    </w:p>
    <w:p w:rsidR="00285EC1" w:rsidRDefault="00285EC1" w:rsidP="00AA7FC6">
      <w:pPr>
        <w:kinsoku w:val="0"/>
        <w:overflowPunct w:val="0"/>
        <w:spacing w:after="0" w:line="240" w:lineRule="auto"/>
        <w:contextualSpacing/>
        <w:textAlignment w:val="baseline"/>
        <w:rPr>
          <w:rFonts w:eastAsia="Times New Roman" w:cs="Arial"/>
          <w:bCs/>
          <w:color w:val="000000" w:themeColor="text1"/>
          <w:szCs w:val="24"/>
          <w:highlight w:val="yellow"/>
          <w:lang w:val="en-US" w:eastAsia="en-GB"/>
        </w:rPr>
      </w:pPr>
    </w:p>
    <w:p w:rsidR="00285EC1" w:rsidRDefault="0059398F" w:rsidP="00285EC1">
      <w:pPr>
        <w:kinsoku w:val="0"/>
        <w:overflowPunct w:val="0"/>
        <w:spacing w:after="0"/>
        <w:contextualSpacing/>
        <w:jc w:val="both"/>
        <w:textAlignment w:val="baseline"/>
        <w:rPr>
          <w:rFonts w:eastAsiaTheme="minorEastAsia" w:cs="Arial"/>
          <w:color w:val="000000" w:themeColor="text1"/>
          <w:szCs w:val="24"/>
          <w:lang w:eastAsia="en-GB"/>
        </w:rPr>
      </w:pPr>
      <w:r w:rsidRPr="00285EC1">
        <w:rPr>
          <w:rFonts w:eastAsia="Times New Roman" w:cs="Arial"/>
          <w:bCs/>
          <w:color w:val="000000" w:themeColor="text1"/>
          <w:szCs w:val="24"/>
          <w:lang w:val="en-US" w:eastAsia="en-GB"/>
        </w:rPr>
        <w:t>It</w:t>
      </w:r>
      <w:r w:rsidR="00AA7FC6" w:rsidRPr="00285EC1">
        <w:rPr>
          <w:rFonts w:eastAsia="Times New Roman" w:cs="Arial"/>
          <w:bCs/>
          <w:color w:val="000000" w:themeColor="text1"/>
          <w:szCs w:val="24"/>
          <w:lang w:val="en-US" w:eastAsia="en-GB"/>
        </w:rPr>
        <w:t xml:space="preserve"> is proposed to start </w:t>
      </w:r>
      <w:r w:rsidR="00AA7FC6" w:rsidRPr="00285EC1">
        <w:rPr>
          <w:rFonts w:eastAsiaTheme="minorEastAsia" w:cs="Arial"/>
          <w:color w:val="000000" w:themeColor="text1"/>
          <w:szCs w:val="24"/>
          <w:lang w:eastAsia="en-GB"/>
        </w:rPr>
        <w:t>an</w:t>
      </w:r>
      <w:r w:rsidR="00AA7FC6">
        <w:rPr>
          <w:rFonts w:eastAsiaTheme="minorEastAsia" w:cs="Arial"/>
          <w:color w:val="000000" w:themeColor="text1"/>
          <w:szCs w:val="24"/>
          <w:lang w:eastAsia="en-GB"/>
        </w:rPr>
        <w:t xml:space="preserve"> </w:t>
      </w:r>
      <w:r w:rsidR="003C7E6C" w:rsidRPr="003C7E6C">
        <w:rPr>
          <w:rFonts w:eastAsiaTheme="minorEastAsia" w:cs="Arial"/>
          <w:color w:val="000000" w:themeColor="text1"/>
          <w:szCs w:val="24"/>
          <w:lang w:eastAsia="en-GB"/>
        </w:rPr>
        <w:t>objective review of current asset condition against approved standards</w:t>
      </w:r>
      <w:r w:rsidR="00AA7FC6">
        <w:rPr>
          <w:rFonts w:eastAsia="Times New Roman" w:cs="Arial"/>
          <w:szCs w:val="24"/>
          <w:lang w:eastAsia="en-GB"/>
        </w:rPr>
        <w:t xml:space="preserve"> and p</w:t>
      </w:r>
      <w:r w:rsidR="00AA7FC6">
        <w:rPr>
          <w:rFonts w:eastAsiaTheme="minorEastAsia" w:cs="Arial"/>
          <w:color w:val="000000" w:themeColor="text1"/>
          <w:szCs w:val="24"/>
          <w:lang w:eastAsia="en-GB"/>
        </w:rPr>
        <w:t>redict</w:t>
      </w:r>
      <w:r w:rsidR="003C7E6C" w:rsidRPr="003C7E6C">
        <w:rPr>
          <w:rFonts w:eastAsiaTheme="minorEastAsia" w:cs="Arial"/>
          <w:color w:val="000000" w:themeColor="text1"/>
          <w:szCs w:val="24"/>
          <w:lang w:eastAsia="en-GB"/>
        </w:rPr>
        <w:t xml:space="preserve"> change</w:t>
      </w:r>
      <w:r w:rsidR="00285EC1">
        <w:rPr>
          <w:rFonts w:eastAsiaTheme="minorEastAsia" w:cs="Arial"/>
          <w:color w:val="000000" w:themeColor="text1"/>
          <w:szCs w:val="24"/>
          <w:lang w:eastAsia="en-GB"/>
        </w:rPr>
        <w:t>s</w:t>
      </w:r>
      <w:r w:rsidR="003C7E6C" w:rsidRPr="003C7E6C">
        <w:rPr>
          <w:rFonts w:eastAsiaTheme="minorEastAsia" w:cs="Arial"/>
          <w:color w:val="000000" w:themeColor="text1"/>
          <w:szCs w:val="24"/>
          <w:lang w:eastAsia="en-GB"/>
        </w:rPr>
        <w:t xml:space="preserve"> in condition</w:t>
      </w:r>
      <w:r w:rsidR="00AA7FC6">
        <w:rPr>
          <w:rFonts w:eastAsiaTheme="minorEastAsia" w:cs="Arial"/>
          <w:color w:val="000000" w:themeColor="text1"/>
          <w:szCs w:val="24"/>
          <w:lang w:eastAsia="en-GB"/>
        </w:rPr>
        <w:t>,</w:t>
      </w:r>
      <w:r w:rsidR="003C7E6C" w:rsidRPr="003C7E6C">
        <w:rPr>
          <w:rFonts w:eastAsiaTheme="minorEastAsia" w:cs="Arial"/>
          <w:color w:val="000000" w:themeColor="text1"/>
          <w:szCs w:val="24"/>
          <w:lang w:eastAsia="en-GB"/>
        </w:rPr>
        <w:t xml:space="preserve"> based on range of scenar</w:t>
      </w:r>
      <w:r w:rsidR="00AA7FC6">
        <w:rPr>
          <w:rFonts w:eastAsiaTheme="minorEastAsia" w:cs="Arial"/>
          <w:color w:val="000000" w:themeColor="text1"/>
          <w:szCs w:val="24"/>
          <w:lang w:eastAsia="en-GB"/>
        </w:rPr>
        <w:t xml:space="preserve">ios through Lifecycle modelling, for the different asset groups for the end of Phase 1 and </w:t>
      </w:r>
      <w:r w:rsidR="00933FF7">
        <w:rPr>
          <w:rFonts w:eastAsiaTheme="minorEastAsia" w:cs="Arial"/>
          <w:color w:val="000000" w:themeColor="text1"/>
          <w:szCs w:val="24"/>
          <w:lang w:eastAsia="en-GB"/>
        </w:rPr>
        <w:t xml:space="preserve">the </w:t>
      </w:r>
      <w:r w:rsidR="00AA7FC6">
        <w:rPr>
          <w:rFonts w:eastAsiaTheme="minorEastAsia" w:cs="Arial"/>
          <w:color w:val="000000" w:themeColor="text1"/>
          <w:szCs w:val="24"/>
          <w:lang w:eastAsia="en-GB"/>
        </w:rPr>
        <w:t>end of phase 2.</w:t>
      </w:r>
      <w:r w:rsidR="00933FF7">
        <w:rPr>
          <w:rFonts w:eastAsiaTheme="minorEastAsia" w:cs="Arial"/>
          <w:color w:val="000000" w:themeColor="text1"/>
          <w:szCs w:val="24"/>
          <w:lang w:eastAsia="en-GB"/>
        </w:rPr>
        <w:t xml:space="preserve"> </w:t>
      </w:r>
      <w:r w:rsidR="00AA7FC6">
        <w:rPr>
          <w:rFonts w:eastAsiaTheme="minorEastAsia" w:cs="Arial"/>
          <w:color w:val="000000" w:themeColor="text1"/>
          <w:szCs w:val="24"/>
          <w:lang w:eastAsia="en-GB"/>
        </w:rPr>
        <w:t xml:space="preserve"> This </w:t>
      </w:r>
      <w:r w:rsidR="00933FF7">
        <w:rPr>
          <w:rFonts w:eastAsiaTheme="minorEastAsia" w:cs="Arial"/>
          <w:color w:val="000000" w:themeColor="text1"/>
          <w:szCs w:val="24"/>
          <w:lang w:eastAsia="en-GB"/>
        </w:rPr>
        <w:t xml:space="preserve">information </w:t>
      </w:r>
      <w:r w:rsidR="00AA7FC6">
        <w:rPr>
          <w:rFonts w:eastAsiaTheme="minorEastAsia" w:cs="Arial"/>
          <w:color w:val="000000" w:themeColor="text1"/>
          <w:szCs w:val="24"/>
          <w:lang w:eastAsia="en-GB"/>
        </w:rPr>
        <w:t>will e</w:t>
      </w:r>
      <w:r w:rsidR="003C7E6C" w:rsidRPr="003C7E6C">
        <w:rPr>
          <w:rFonts w:eastAsiaTheme="minorEastAsia" w:cs="Arial"/>
          <w:color w:val="000000" w:themeColor="text1"/>
          <w:szCs w:val="24"/>
          <w:lang w:eastAsia="en-GB"/>
        </w:rPr>
        <w:t xml:space="preserve">nsure </w:t>
      </w:r>
      <w:r w:rsidR="00285EC1">
        <w:rPr>
          <w:rFonts w:eastAsiaTheme="minorEastAsia" w:cs="Arial"/>
          <w:color w:val="000000" w:themeColor="text1"/>
          <w:szCs w:val="24"/>
          <w:lang w:eastAsia="en-GB"/>
        </w:rPr>
        <w:t xml:space="preserve">that Phase 2 allocations are apportioned </w:t>
      </w:r>
      <w:r w:rsidR="00933FF7">
        <w:rPr>
          <w:rFonts w:eastAsiaTheme="minorEastAsia" w:cs="Arial"/>
          <w:color w:val="000000" w:themeColor="text1"/>
          <w:szCs w:val="24"/>
          <w:lang w:eastAsia="en-GB"/>
        </w:rPr>
        <w:t>so</w:t>
      </w:r>
      <w:r w:rsidR="00285EC1">
        <w:rPr>
          <w:rFonts w:eastAsiaTheme="minorEastAsia" w:cs="Arial"/>
          <w:color w:val="000000" w:themeColor="text1"/>
          <w:szCs w:val="24"/>
          <w:lang w:eastAsia="en-GB"/>
        </w:rPr>
        <w:t xml:space="preserve"> the TAMP can deliver the County Councils objectives </w:t>
      </w:r>
      <w:r w:rsidR="00933FF7">
        <w:rPr>
          <w:rFonts w:eastAsiaTheme="minorEastAsia" w:cs="Arial"/>
          <w:color w:val="000000" w:themeColor="text1"/>
          <w:szCs w:val="24"/>
          <w:lang w:eastAsia="en-GB"/>
        </w:rPr>
        <w:t xml:space="preserve">so </w:t>
      </w:r>
      <w:r w:rsidR="00285EC1">
        <w:rPr>
          <w:rFonts w:eastAsiaTheme="minorEastAsia" w:cs="Arial"/>
          <w:color w:val="000000" w:themeColor="text1"/>
          <w:szCs w:val="24"/>
          <w:lang w:eastAsia="en-GB"/>
        </w:rPr>
        <w:t xml:space="preserve">our Transport Assets </w:t>
      </w:r>
      <w:r w:rsidR="00933FF7">
        <w:rPr>
          <w:rFonts w:eastAsiaTheme="minorEastAsia" w:cs="Arial"/>
          <w:color w:val="000000" w:themeColor="text1"/>
          <w:szCs w:val="24"/>
          <w:lang w:eastAsia="en-GB"/>
        </w:rPr>
        <w:t xml:space="preserve">can be maintained </w:t>
      </w:r>
      <w:r w:rsidR="00285EC1">
        <w:rPr>
          <w:rFonts w:eastAsiaTheme="minorEastAsia" w:cs="Arial"/>
          <w:color w:val="000000" w:themeColor="text1"/>
          <w:szCs w:val="24"/>
          <w:lang w:eastAsia="en-GB"/>
        </w:rPr>
        <w:t>at the desired service standard.</w:t>
      </w:r>
    </w:p>
    <w:p w:rsidR="00285EC1" w:rsidRDefault="00285EC1" w:rsidP="00285EC1">
      <w:pPr>
        <w:kinsoku w:val="0"/>
        <w:overflowPunct w:val="0"/>
        <w:spacing w:after="0"/>
        <w:contextualSpacing/>
        <w:jc w:val="both"/>
        <w:textAlignment w:val="baseline"/>
        <w:rPr>
          <w:rFonts w:eastAsiaTheme="minorEastAsia" w:cs="Arial"/>
          <w:color w:val="000000" w:themeColor="text1"/>
          <w:szCs w:val="24"/>
          <w:lang w:eastAsia="en-GB"/>
        </w:rPr>
      </w:pPr>
    </w:p>
    <w:p w:rsidR="00933FF7" w:rsidRDefault="00285EC1" w:rsidP="00285EC1">
      <w:pPr>
        <w:kinsoku w:val="0"/>
        <w:overflowPunct w:val="0"/>
        <w:spacing w:after="0"/>
        <w:contextualSpacing/>
        <w:jc w:val="both"/>
        <w:textAlignment w:val="baseline"/>
        <w:rPr>
          <w:rFonts w:eastAsiaTheme="minorEastAsia" w:cs="Arial"/>
          <w:color w:val="000000" w:themeColor="text1"/>
          <w:szCs w:val="24"/>
          <w:lang w:eastAsia="en-GB"/>
        </w:rPr>
      </w:pPr>
      <w:r>
        <w:rPr>
          <w:rFonts w:eastAsiaTheme="minorEastAsia" w:cs="Arial"/>
          <w:color w:val="000000" w:themeColor="text1"/>
          <w:szCs w:val="24"/>
          <w:lang w:eastAsia="en-GB"/>
        </w:rPr>
        <w:t xml:space="preserve">A timetable is currently being drafted </w:t>
      </w:r>
      <w:r w:rsidR="00933FF7">
        <w:rPr>
          <w:rFonts w:eastAsiaTheme="minorEastAsia" w:cs="Arial"/>
          <w:color w:val="000000" w:themeColor="text1"/>
          <w:szCs w:val="24"/>
          <w:lang w:eastAsia="en-GB"/>
        </w:rPr>
        <w:t>in order that we can manage this important piece of work.  When complete, the results of this exercise will be presented to a future Cabinet meeting for approval.</w:t>
      </w:r>
    </w:p>
    <w:p w:rsidR="00933FF7" w:rsidRDefault="00933FF7" w:rsidP="00285EC1">
      <w:pPr>
        <w:kinsoku w:val="0"/>
        <w:overflowPunct w:val="0"/>
        <w:spacing w:after="0"/>
        <w:contextualSpacing/>
        <w:jc w:val="both"/>
        <w:textAlignment w:val="baseline"/>
        <w:rPr>
          <w:rFonts w:eastAsiaTheme="minorEastAsia" w:cs="Arial"/>
          <w:color w:val="000000" w:themeColor="text1"/>
          <w:szCs w:val="24"/>
          <w:lang w:eastAsia="en-GB"/>
        </w:rPr>
      </w:pPr>
    </w:p>
    <w:p w:rsidR="006B423B" w:rsidRPr="00BA2BF7" w:rsidRDefault="006B423B" w:rsidP="006B423B">
      <w:pPr>
        <w:pStyle w:val="ListParagraph"/>
        <w:numPr>
          <w:ilvl w:val="0"/>
          <w:numId w:val="10"/>
        </w:numPr>
        <w:spacing w:after="0"/>
        <w:jc w:val="both"/>
        <w:rPr>
          <w:b/>
          <w:color w:val="000000" w:themeColor="text1"/>
        </w:rPr>
      </w:pPr>
      <w:r w:rsidRPr="00BA2BF7">
        <w:rPr>
          <w:rFonts w:eastAsia="Times New Roman" w:cs="Arial"/>
          <w:b/>
          <w:bCs/>
          <w:color w:val="000000" w:themeColor="text1"/>
          <w:szCs w:val="24"/>
          <w:lang w:val="en" w:eastAsia="en-GB"/>
        </w:rPr>
        <w:t>Well Managed Highways Infrastructure Code of Practice:</w:t>
      </w:r>
    </w:p>
    <w:p w:rsidR="006B423B" w:rsidRDefault="006B423B" w:rsidP="006B423B">
      <w:pPr>
        <w:autoSpaceDE w:val="0"/>
        <w:autoSpaceDN w:val="0"/>
        <w:adjustRightInd w:val="0"/>
        <w:jc w:val="both"/>
        <w:rPr>
          <w:szCs w:val="24"/>
        </w:rPr>
      </w:pPr>
      <w:r w:rsidRPr="00BA2BF7">
        <w:rPr>
          <w:bCs/>
          <w:szCs w:val="24"/>
          <w:shd w:val="clear" w:color="auto" w:fill="FFFFFF"/>
        </w:rPr>
        <w:t>The introduction</w:t>
      </w:r>
      <w:r w:rsidRPr="00D141ED">
        <w:rPr>
          <w:bCs/>
          <w:szCs w:val="24"/>
          <w:shd w:val="clear" w:color="auto" w:fill="FFFFFF"/>
        </w:rPr>
        <w:t xml:space="preserve"> of ‘</w:t>
      </w:r>
      <w:r w:rsidRPr="00D141ED">
        <w:rPr>
          <w:szCs w:val="24"/>
        </w:rPr>
        <w:t>The Well Managed Highway Infrastructure Code of Practice’, published in October 2016</w:t>
      </w:r>
      <w:r>
        <w:rPr>
          <w:szCs w:val="24"/>
        </w:rPr>
        <w:t xml:space="preserve"> and commissioned by the DfT</w:t>
      </w:r>
      <w:r w:rsidRPr="00D141ED">
        <w:rPr>
          <w:szCs w:val="24"/>
        </w:rPr>
        <w:t xml:space="preserve">, has superseded the previous code relating to highways inspection and maintenance, </w:t>
      </w:r>
      <w:r>
        <w:rPr>
          <w:szCs w:val="24"/>
        </w:rPr>
        <w:t xml:space="preserve">advocating a </w:t>
      </w:r>
      <w:r w:rsidRPr="00D141ED">
        <w:rPr>
          <w:szCs w:val="24"/>
        </w:rPr>
        <w:t xml:space="preserve">Risk Based </w:t>
      </w:r>
      <w:r>
        <w:rPr>
          <w:szCs w:val="24"/>
        </w:rPr>
        <w:t xml:space="preserve">approach be developed </w:t>
      </w:r>
      <w:r w:rsidRPr="00D141ED">
        <w:rPr>
          <w:szCs w:val="24"/>
        </w:rPr>
        <w:t xml:space="preserve">by local authorities to </w:t>
      </w:r>
      <w:r>
        <w:rPr>
          <w:szCs w:val="24"/>
        </w:rPr>
        <w:t>managing the highway</w:t>
      </w:r>
      <w:r w:rsidRPr="00D141ED">
        <w:rPr>
          <w:szCs w:val="24"/>
        </w:rPr>
        <w:t xml:space="preserve"> network.  </w:t>
      </w:r>
      <w:r>
        <w:rPr>
          <w:szCs w:val="24"/>
        </w:rPr>
        <w:t xml:space="preserve">Highway Authorities had until October 2018 to be compliant with the Code. </w:t>
      </w:r>
    </w:p>
    <w:p w:rsidR="006B423B" w:rsidRPr="00D371FD" w:rsidRDefault="006B423B" w:rsidP="006B423B">
      <w:pPr>
        <w:autoSpaceDE w:val="0"/>
        <w:autoSpaceDN w:val="0"/>
        <w:adjustRightInd w:val="0"/>
        <w:jc w:val="both"/>
        <w:rPr>
          <w:lang w:val="en"/>
        </w:rPr>
      </w:pPr>
      <w:r>
        <w:rPr>
          <w:szCs w:val="24"/>
        </w:rPr>
        <w:t xml:space="preserve">Whilst touching on all aspects of highway maintenance the risk based approach </w:t>
      </w:r>
      <w:r>
        <w:rPr>
          <w:lang w:val="en"/>
        </w:rPr>
        <w:t xml:space="preserve">now </w:t>
      </w:r>
      <w:r w:rsidRPr="0036005B">
        <w:t xml:space="preserve">recommends that the safety inspection regime and defect repair regime </w:t>
      </w:r>
      <w:r>
        <w:t>should be based on risk</w:t>
      </w:r>
      <w:r w:rsidRPr="0036005B">
        <w:t xml:space="preserve">.  </w:t>
      </w:r>
      <w:r>
        <w:t xml:space="preserve">Cabinet considered and approved a revised Highway Safety Inspection Policy in April 2018 which sets out a method </w:t>
      </w:r>
      <w:r w:rsidRPr="0036005B">
        <w:t xml:space="preserve">for assessing the risk posed by defects and hazards and establishes a practical process to facilitate </w:t>
      </w:r>
      <w:r>
        <w:t>this.</w:t>
      </w:r>
    </w:p>
    <w:p w:rsidR="006B423B" w:rsidRDefault="006B423B" w:rsidP="006B423B">
      <w:pPr>
        <w:jc w:val="both"/>
      </w:pPr>
      <w:r>
        <w:t xml:space="preserve">Annex 'A' of the Highway Safety Inspection Policy sets out in detail how this risk based approach is applied to the most common defects and shows the </w:t>
      </w:r>
      <w:r w:rsidRPr="00797C3B">
        <w:t>investigatory levels</w:t>
      </w:r>
      <w:r>
        <w:t xml:space="preserve">, specific risk assessment, impact rating, and the </w:t>
      </w:r>
      <w:r w:rsidRPr="00797C3B">
        <w:t xml:space="preserve">response </w:t>
      </w:r>
      <w:r>
        <w:t xml:space="preserve">time to repair or make safe the defect.  </w:t>
      </w:r>
      <w:r w:rsidRPr="00CC54AF">
        <w:t xml:space="preserve">This means that defects of a certain size or in a certain location may require </w:t>
      </w:r>
      <w:r>
        <w:t xml:space="preserve">more </w:t>
      </w:r>
      <w:r w:rsidRPr="00CC54AF">
        <w:t xml:space="preserve">urgent attention </w:t>
      </w:r>
      <w:r>
        <w:t>than</w:t>
      </w:r>
      <w:r w:rsidRPr="00CC54AF">
        <w:t xml:space="preserve"> other defects where the locations and sizes are such that longer periods of response will be </w:t>
      </w:r>
      <w:r>
        <w:t>reason</w:t>
      </w:r>
      <w:r w:rsidRPr="00CC54AF">
        <w:t>able.</w:t>
      </w:r>
    </w:p>
    <w:p w:rsidR="006B423B" w:rsidRPr="00694BCC" w:rsidRDefault="006B423B" w:rsidP="006B423B">
      <w:pPr>
        <w:pStyle w:val="Heading3"/>
        <w:rPr>
          <w:rFonts w:ascii="Arial" w:hAnsi="Arial" w:cs="Arial"/>
          <w:b/>
          <w:color w:val="000000" w:themeColor="text1"/>
        </w:rPr>
      </w:pPr>
      <w:r w:rsidRPr="00694BCC">
        <w:rPr>
          <w:rFonts w:ascii="Arial" w:hAnsi="Arial" w:cs="Arial"/>
          <w:b/>
          <w:color w:val="000000" w:themeColor="text1"/>
        </w:rPr>
        <w:t>Risk Based Inspections</w:t>
      </w:r>
    </w:p>
    <w:p w:rsidR="006B423B" w:rsidRDefault="006B423B" w:rsidP="006B423B">
      <w:pPr>
        <w:autoSpaceDE w:val="0"/>
        <w:autoSpaceDN w:val="0"/>
        <w:adjustRightInd w:val="0"/>
        <w:spacing w:after="0"/>
        <w:jc w:val="both"/>
        <w:rPr>
          <w:rFonts w:cs="Arial"/>
        </w:rPr>
      </w:pPr>
      <w:r w:rsidRPr="00CE1D01">
        <w:rPr>
          <w:rFonts w:cs="Arial"/>
        </w:rPr>
        <w:t xml:space="preserve">As well as </w:t>
      </w:r>
      <w:r>
        <w:rPr>
          <w:rFonts w:cs="Arial"/>
        </w:rPr>
        <w:t>Highway Safety I</w:t>
      </w:r>
      <w:r w:rsidRPr="00CE1D01">
        <w:rPr>
          <w:rFonts w:cs="Arial"/>
        </w:rPr>
        <w:t>nspections the risk based approach should also be applied to prioritising other types of inspections and assessments.</w:t>
      </w:r>
      <w:r>
        <w:rPr>
          <w:rFonts w:cs="Arial"/>
        </w:rPr>
        <w:t xml:space="preserve"> I</w:t>
      </w:r>
      <w:r w:rsidRPr="00CE1D01">
        <w:rPr>
          <w:rFonts w:cs="Arial"/>
        </w:rPr>
        <w:t>n consider</w:t>
      </w:r>
      <w:r>
        <w:rPr>
          <w:rFonts w:cs="Arial"/>
        </w:rPr>
        <w:t xml:space="preserve">ing the capital budget for 2018/19 </w:t>
      </w:r>
      <w:r w:rsidRPr="00CE1D01">
        <w:rPr>
          <w:rFonts w:cs="Arial"/>
        </w:rPr>
        <w:t xml:space="preserve">Cabinet </w:t>
      </w:r>
      <w:r>
        <w:rPr>
          <w:rFonts w:cs="Arial"/>
        </w:rPr>
        <w:t xml:space="preserve">agreed </w:t>
      </w:r>
      <w:r w:rsidRPr="00CE1D01">
        <w:rPr>
          <w:rFonts w:cs="Arial"/>
        </w:rPr>
        <w:t>in January 2018 that £0.974</w:t>
      </w:r>
      <w:r>
        <w:rPr>
          <w:rFonts w:cs="Arial"/>
        </w:rPr>
        <w:t>m</w:t>
      </w:r>
      <w:r w:rsidRPr="00CE1D01">
        <w:rPr>
          <w:rFonts w:cs="Arial"/>
        </w:rPr>
        <w:t xml:space="preserve"> from the Incentive Fund </w:t>
      </w:r>
      <w:r>
        <w:rPr>
          <w:rFonts w:cs="Arial"/>
        </w:rPr>
        <w:t xml:space="preserve">allocation could </w:t>
      </w:r>
      <w:r w:rsidRPr="00CE1D01">
        <w:rPr>
          <w:rFonts w:cs="Arial"/>
        </w:rPr>
        <w:t xml:space="preserve">be used for Risk Based </w:t>
      </w:r>
      <w:r>
        <w:rPr>
          <w:rFonts w:cs="Arial"/>
        </w:rPr>
        <w:t>Assessments/Inspections.</w:t>
      </w:r>
    </w:p>
    <w:p w:rsidR="006B423B" w:rsidRDefault="006B423B" w:rsidP="006B423B">
      <w:pPr>
        <w:autoSpaceDE w:val="0"/>
        <w:autoSpaceDN w:val="0"/>
        <w:adjustRightInd w:val="0"/>
        <w:spacing w:after="0"/>
        <w:jc w:val="both"/>
        <w:rPr>
          <w:rFonts w:cs="Arial"/>
        </w:rPr>
      </w:pPr>
    </w:p>
    <w:p w:rsidR="006B423B" w:rsidRDefault="006B423B" w:rsidP="006B423B">
      <w:pPr>
        <w:autoSpaceDE w:val="0"/>
        <w:autoSpaceDN w:val="0"/>
        <w:adjustRightInd w:val="0"/>
        <w:spacing w:after="0"/>
        <w:jc w:val="both"/>
        <w:rPr>
          <w:rFonts w:cs="Arial"/>
          <w:szCs w:val="24"/>
        </w:rPr>
      </w:pPr>
      <w:r>
        <w:rPr>
          <w:rFonts w:cs="Arial"/>
          <w:szCs w:val="24"/>
        </w:rPr>
        <w:t xml:space="preserve">In line with </w:t>
      </w:r>
      <w:r w:rsidRPr="00D141ED">
        <w:rPr>
          <w:bCs/>
          <w:szCs w:val="24"/>
          <w:shd w:val="clear" w:color="auto" w:fill="FFFFFF"/>
        </w:rPr>
        <w:t>‘</w:t>
      </w:r>
      <w:r w:rsidRPr="00D141ED">
        <w:rPr>
          <w:szCs w:val="24"/>
        </w:rPr>
        <w:t>The Well Managed Highway Infrastructure Code of Practice’,</w:t>
      </w:r>
      <w:r>
        <w:rPr>
          <w:rFonts w:cs="Arial"/>
          <w:szCs w:val="24"/>
        </w:rPr>
        <w:t xml:space="preserve"> a ri</w:t>
      </w:r>
      <w:r w:rsidRPr="00CE1D01">
        <w:rPr>
          <w:rFonts w:cs="Arial"/>
          <w:szCs w:val="24"/>
        </w:rPr>
        <w:t xml:space="preserve">sk based </w:t>
      </w:r>
      <w:r>
        <w:rPr>
          <w:rFonts w:cs="Arial"/>
          <w:szCs w:val="24"/>
        </w:rPr>
        <w:t xml:space="preserve">approach has been </w:t>
      </w:r>
      <w:r w:rsidRPr="00CE1D01">
        <w:rPr>
          <w:rFonts w:cs="Arial"/>
          <w:szCs w:val="24"/>
        </w:rPr>
        <w:t xml:space="preserve">embedded into </w:t>
      </w:r>
      <w:r>
        <w:rPr>
          <w:rFonts w:cs="Arial"/>
          <w:szCs w:val="24"/>
        </w:rPr>
        <w:t xml:space="preserve">our </w:t>
      </w:r>
      <w:r w:rsidRPr="00CE1D01">
        <w:rPr>
          <w:rFonts w:cs="Arial"/>
          <w:szCs w:val="24"/>
        </w:rPr>
        <w:t>approved Lifecycle Plans</w:t>
      </w:r>
      <w:r>
        <w:rPr>
          <w:rFonts w:cs="Arial"/>
          <w:szCs w:val="24"/>
        </w:rPr>
        <w:t xml:space="preserve"> and the approved </w:t>
      </w:r>
      <w:r w:rsidRPr="00CE1D01">
        <w:rPr>
          <w:rFonts w:cs="Arial"/>
          <w:szCs w:val="24"/>
        </w:rPr>
        <w:t>Structures and Street Lighti</w:t>
      </w:r>
      <w:r>
        <w:rPr>
          <w:rFonts w:cs="Arial"/>
          <w:szCs w:val="24"/>
        </w:rPr>
        <w:t xml:space="preserve">ng Lifecycle Plans indicate a number of areas </w:t>
      </w:r>
      <w:r w:rsidRPr="00CE1D01">
        <w:rPr>
          <w:rFonts w:cs="Arial"/>
          <w:szCs w:val="24"/>
        </w:rPr>
        <w:t>where high</w:t>
      </w:r>
      <w:r>
        <w:rPr>
          <w:rFonts w:cs="Arial"/>
          <w:szCs w:val="24"/>
        </w:rPr>
        <w:t>er</w:t>
      </w:r>
      <w:r w:rsidRPr="00CE1D01">
        <w:rPr>
          <w:rFonts w:cs="Arial"/>
          <w:szCs w:val="24"/>
        </w:rPr>
        <w:t xml:space="preserve"> risks have been i</w:t>
      </w:r>
      <w:r>
        <w:rPr>
          <w:rFonts w:cs="Arial"/>
          <w:szCs w:val="24"/>
        </w:rPr>
        <w:t xml:space="preserve">dentified, for which there is currently no funding available.  </w:t>
      </w:r>
    </w:p>
    <w:p w:rsidR="006B423B" w:rsidRDefault="006B423B" w:rsidP="006B423B">
      <w:pPr>
        <w:autoSpaceDE w:val="0"/>
        <w:autoSpaceDN w:val="0"/>
        <w:adjustRightInd w:val="0"/>
        <w:spacing w:after="0"/>
        <w:jc w:val="both"/>
        <w:rPr>
          <w:rFonts w:cs="Arial"/>
          <w:szCs w:val="24"/>
        </w:rPr>
      </w:pPr>
    </w:p>
    <w:p w:rsidR="006B423B" w:rsidRDefault="006B423B" w:rsidP="006B423B">
      <w:pPr>
        <w:autoSpaceDE w:val="0"/>
        <w:autoSpaceDN w:val="0"/>
        <w:adjustRightInd w:val="0"/>
        <w:spacing w:after="0"/>
        <w:jc w:val="both"/>
        <w:rPr>
          <w:rFonts w:cs="Arial"/>
          <w:szCs w:val="24"/>
        </w:rPr>
      </w:pPr>
      <w:r>
        <w:rPr>
          <w:rFonts w:cs="Arial"/>
          <w:szCs w:val="24"/>
        </w:rPr>
        <w:t>The £0.974m allocation enabled a number of bridge related post tension inspections and scour assessments to be carried out and a selection of steel lighting columns to be tested during 2017/18.</w:t>
      </w:r>
    </w:p>
    <w:p w:rsidR="006B423B" w:rsidRDefault="006B423B" w:rsidP="006B423B">
      <w:pPr>
        <w:autoSpaceDE w:val="0"/>
        <w:autoSpaceDN w:val="0"/>
        <w:adjustRightInd w:val="0"/>
        <w:spacing w:after="0"/>
        <w:jc w:val="both"/>
        <w:rPr>
          <w:rFonts w:cs="Arial"/>
          <w:szCs w:val="24"/>
        </w:rPr>
      </w:pPr>
    </w:p>
    <w:p w:rsidR="006B423B" w:rsidRDefault="006B423B" w:rsidP="006B423B">
      <w:pPr>
        <w:autoSpaceDE w:val="0"/>
        <w:autoSpaceDN w:val="0"/>
        <w:adjustRightInd w:val="0"/>
        <w:spacing w:after="0"/>
        <w:jc w:val="both"/>
        <w:rPr>
          <w:rFonts w:cs="Arial"/>
          <w:szCs w:val="24"/>
        </w:rPr>
      </w:pPr>
      <w:r>
        <w:rPr>
          <w:rFonts w:cs="Arial"/>
          <w:szCs w:val="24"/>
        </w:rPr>
        <w:t>As a result of this funding we were able to test in the region of 2,000 steel columns that had been identified from a particular pattern on the column door as these were thought to be close to the end of their service life.  Of these, 15 columns were taken down and replaced immediately, 44 are scheduled for replacement shortly and a further 74 will need to be re-tested in the next 18 months to ensure that they are still fit for purpose.  As doors are interchangeable a small number of columns that were tested were identified as being of a different type.  In all such cases the inventory has been updated accordingly.  A further batch of columns are scheduled for inspection in 2018/19.</w:t>
      </w:r>
    </w:p>
    <w:p w:rsidR="006B423B" w:rsidRDefault="006B423B" w:rsidP="006B423B">
      <w:pPr>
        <w:autoSpaceDE w:val="0"/>
        <w:autoSpaceDN w:val="0"/>
        <w:adjustRightInd w:val="0"/>
        <w:spacing w:after="0"/>
        <w:jc w:val="both"/>
        <w:rPr>
          <w:rFonts w:cs="Arial"/>
          <w:szCs w:val="24"/>
        </w:rPr>
      </w:pPr>
    </w:p>
    <w:p w:rsidR="0006794A" w:rsidRDefault="0006794A" w:rsidP="0006794A">
      <w:pPr>
        <w:spacing w:after="0"/>
        <w:jc w:val="both"/>
        <w:rPr>
          <w:iCs/>
          <w:color w:val="000000" w:themeColor="text1"/>
        </w:rPr>
      </w:pPr>
      <w:r w:rsidRPr="00F14A1B">
        <w:rPr>
          <w:iCs/>
          <w:color w:val="000000" w:themeColor="text1"/>
        </w:rPr>
        <w:t xml:space="preserve">The funding enabled us to undertake a range of inspections and desk studies of bridges and highway structures that present an elevated risk to users due to a range on both known and potential issues.  This has comprised of Principal Inspections of 56 bridges, assessment of scour risk across the network, investigation of post-tensioning systems, high-risk parapets, monitoring of weak bridges and the continuing validity of load-carrying capacity assessments.  </w:t>
      </w:r>
      <w:r w:rsidR="00F14A1B" w:rsidRPr="00F14A1B">
        <w:rPr>
          <w:iCs/>
          <w:color w:val="000000" w:themeColor="text1"/>
        </w:rPr>
        <w:t>T</w:t>
      </w:r>
      <w:r w:rsidRPr="00F14A1B">
        <w:rPr>
          <w:iCs/>
          <w:color w:val="000000" w:themeColor="text1"/>
        </w:rPr>
        <w:t xml:space="preserve">he findings </w:t>
      </w:r>
      <w:r w:rsidR="00F14A1B" w:rsidRPr="00F14A1B">
        <w:rPr>
          <w:iCs/>
          <w:color w:val="000000" w:themeColor="text1"/>
        </w:rPr>
        <w:t xml:space="preserve">will </w:t>
      </w:r>
      <w:r w:rsidRPr="00F14A1B">
        <w:rPr>
          <w:iCs/>
          <w:color w:val="000000" w:themeColor="text1"/>
        </w:rPr>
        <w:t xml:space="preserve">inform </w:t>
      </w:r>
      <w:r w:rsidR="00F14A1B" w:rsidRPr="00F14A1B">
        <w:rPr>
          <w:iCs/>
          <w:color w:val="000000" w:themeColor="text1"/>
        </w:rPr>
        <w:t>a risk based programme of works and inspections for 2019/20.</w:t>
      </w:r>
    </w:p>
    <w:p w:rsidR="00F14A1B" w:rsidRPr="0006794A" w:rsidRDefault="00F14A1B" w:rsidP="0006794A">
      <w:pPr>
        <w:spacing w:after="0"/>
        <w:jc w:val="both"/>
        <w:rPr>
          <w:iCs/>
          <w:color w:val="000000" w:themeColor="text1"/>
        </w:rPr>
      </w:pPr>
    </w:p>
    <w:p w:rsidR="006B423B" w:rsidRDefault="006B423B" w:rsidP="006B423B">
      <w:pPr>
        <w:autoSpaceDE w:val="0"/>
        <w:autoSpaceDN w:val="0"/>
        <w:adjustRightInd w:val="0"/>
        <w:spacing w:after="0"/>
        <w:jc w:val="both"/>
        <w:rPr>
          <w:rFonts w:cs="Arial"/>
          <w:szCs w:val="24"/>
        </w:rPr>
      </w:pPr>
      <w:r>
        <w:rPr>
          <w:rFonts w:cs="Arial"/>
          <w:szCs w:val="24"/>
        </w:rPr>
        <w:t xml:space="preserve">The 2018/19 Incentive Fund will enabled a further batch of structures to be inspected and lighting </w:t>
      </w:r>
      <w:r w:rsidR="0006794A">
        <w:rPr>
          <w:rFonts w:cs="Arial"/>
          <w:szCs w:val="24"/>
        </w:rPr>
        <w:t xml:space="preserve">columns </w:t>
      </w:r>
      <w:r>
        <w:rPr>
          <w:rFonts w:cs="Arial"/>
          <w:szCs w:val="24"/>
        </w:rPr>
        <w:t xml:space="preserve">to be tested.  In </w:t>
      </w:r>
      <w:r w:rsidR="0006794A">
        <w:rPr>
          <w:rFonts w:cs="Arial"/>
          <w:szCs w:val="24"/>
        </w:rPr>
        <w:t xml:space="preserve">future years </w:t>
      </w:r>
      <w:r>
        <w:rPr>
          <w:rFonts w:cs="Arial"/>
          <w:szCs w:val="24"/>
        </w:rPr>
        <w:t xml:space="preserve">we propose to carry out limited inspections of vehicle restraint systems currently in place across Lancashire.  A </w:t>
      </w:r>
      <w:r w:rsidRPr="00CE1D01">
        <w:rPr>
          <w:rFonts w:cs="Arial"/>
          <w:szCs w:val="24"/>
        </w:rPr>
        <w:t xml:space="preserve">Vehicle Restraint </w:t>
      </w:r>
      <w:r>
        <w:rPr>
          <w:rFonts w:cs="Arial"/>
          <w:szCs w:val="24"/>
        </w:rPr>
        <w:t>System Code of Practice is currently being drafted and once the risk based approach has been finalised this document will be presented to Cabinet for approval.</w:t>
      </w:r>
    </w:p>
    <w:p w:rsidR="006B423B" w:rsidRDefault="006B423B" w:rsidP="006B423B">
      <w:pPr>
        <w:autoSpaceDE w:val="0"/>
        <w:autoSpaceDN w:val="0"/>
        <w:adjustRightInd w:val="0"/>
        <w:spacing w:after="0"/>
        <w:jc w:val="both"/>
        <w:rPr>
          <w:rFonts w:cs="Arial"/>
          <w:szCs w:val="24"/>
        </w:rPr>
      </w:pPr>
    </w:p>
    <w:p w:rsidR="006B423B" w:rsidRPr="00031C00" w:rsidRDefault="006B423B" w:rsidP="006B423B">
      <w:pPr>
        <w:spacing w:after="0"/>
        <w:jc w:val="both"/>
        <w:rPr>
          <w:color w:val="000000" w:themeColor="text1"/>
        </w:rPr>
      </w:pPr>
      <w:r w:rsidRPr="00031C00">
        <w:rPr>
          <w:color w:val="000000" w:themeColor="text1"/>
        </w:rPr>
        <w:t>In September 2018 Cabinet approved the Tree Safety Management guidance document which also established a risk based approach for the inspection of trees gro</w:t>
      </w:r>
      <w:r>
        <w:rPr>
          <w:color w:val="000000" w:themeColor="text1"/>
        </w:rPr>
        <w:t>w</w:t>
      </w:r>
      <w:r w:rsidRPr="00031C00">
        <w:rPr>
          <w:color w:val="000000" w:themeColor="text1"/>
        </w:rPr>
        <w:t>ing within or close to the vehicular highway.</w:t>
      </w:r>
    </w:p>
    <w:p w:rsidR="006B423B" w:rsidRDefault="006B423B" w:rsidP="006B423B">
      <w:pPr>
        <w:spacing w:after="0"/>
        <w:jc w:val="both"/>
      </w:pPr>
    </w:p>
    <w:p w:rsidR="006B423B" w:rsidRPr="00694BCC" w:rsidRDefault="006B423B" w:rsidP="006B423B">
      <w:pPr>
        <w:pStyle w:val="Heading3"/>
        <w:rPr>
          <w:rFonts w:ascii="Arial" w:hAnsi="Arial" w:cs="Arial"/>
          <w:b/>
          <w:color w:val="000000" w:themeColor="text1"/>
        </w:rPr>
      </w:pPr>
      <w:r w:rsidRPr="00694BCC">
        <w:rPr>
          <w:rFonts w:ascii="Arial" w:hAnsi="Arial" w:cs="Arial"/>
          <w:b/>
          <w:color w:val="000000" w:themeColor="text1"/>
        </w:rPr>
        <w:t>Future Developments</w:t>
      </w:r>
    </w:p>
    <w:p w:rsidR="006B423B" w:rsidRDefault="006B423B" w:rsidP="006B423B">
      <w:pPr>
        <w:pStyle w:val="NormalWeb"/>
        <w:spacing w:after="0" w:line="276" w:lineRule="auto"/>
        <w:jc w:val="both"/>
        <w:rPr>
          <w:rFonts w:ascii="Arial" w:hAnsi="Arial" w:cs="Arial"/>
          <w:color w:val="000000" w:themeColor="text1"/>
        </w:rPr>
      </w:pPr>
      <w:r w:rsidRPr="00694BCC">
        <w:rPr>
          <w:rFonts w:ascii="Arial" w:hAnsi="Arial" w:cs="Arial"/>
          <w:color w:val="000000" w:themeColor="text1"/>
        </w:rPr>
        <w:t xml:space="preserve">In advance of the October 2018 deadline, the date by which the </w:t>
      </w:r>
      <w:r w:rsidRPr="00694BCC">
        <w:rPr>
          <w:rFonts w:ascii="Arial" w:hAnsi="Arial" w:cs="Arial"/>
          <w:bCs/>
          <w:color w:val="000000" w:themeColor="text1"/>
          <w:lang w:val="en"/>
        </w:rPr>
        <w:t>Well Managed Highways Infrastructure Code of Practice</w:t>
      </w:r>
      <w:r w:rsidRPr="00694BCC">
        <w:rPr>
          <w:rFonts w:ascii="Arial" w:hAnsi="Arial" w:cs="Arial"/>
          <w:color w:val="000000" w:themeColor="text1"/>
        </w:rPr>
        <w:t xml:space="preserve"> had to be adopted by Highway Authorities, we undertook a gap analysis </w:t>
      </w:r>
      <w:r>
        <w:rPr>
          <w:rFonts w:ascii="Arial" w:hAnsi="Arial" w:cs="Arial"/>
          <w:color w:val="000000" w:themeColor="text1"/>
        </w:rPr>
        <w:t>to i</w:t>
      </w:r>
      <w:r w:rsidRPr="00694BCC">
        <w:rPr>
          <w:rFonts w:ascii="Arial" w:hAnsi="Arial" w:cs="Arial"/>
          <w:color w:val="000000" w:themeColor="text1"/>
        </w:rPr>
        <w:t>dentif</w:t>
      </w:r>
      <w:r>
        <w:rPr>
          <w:rFonts w:ascii="Arial" w:hAnsi="Arial" w:cs="Arial"/>
          <w:color w:val="000000" w:themeColor="text1"/>
        </w:rPr>
        <w:t>y any outstanding matters.</w:t>
      </w:r>
    </w:p>
    <w:p w:rsidR="006B423B" w:rsidRDefault="006B423B" w:rsidP="006B423B">
      <w:pPr>
        <w:pStyle w:val="NormalWeb"/>
        <w:spacing w:after="0" w:line="276" w:lineRule="auto"/>
        <w:jc w:val="both"/>
        <w:rPr>
          <w:rFonts w:ascii="Arial" w:hAnsi="Arial" w:cs="Arial"/>
          <w:color w:val="000000" w:themeColor="text1"/>
        </w:rPr>
      </w:pPr>
    </w:p>
    <w:p w:rsidR="006B423B" w:rsidRDefault="006B423B" w:rsidP="006B423B">
      <w:pPr>
        <w:pStyle w:val="NormalWeb"/>
        <w:spacing w:after="0" w:line="276" w:lineRule="auto"/>
        <w:jc w:val="both"/>
        <w:rPr>
          <w:rFonts w:ascii="Arial" w:hAnsi="Arial" w:cs="Arial"/>
          <w:color w:val="000000" w:themeColor="text1"/>
        </w:rPr>
      </w:pPr>
      <w:r>
        <w:rPr>
          <w:rFonts w:ascii="Arial" w:hAnsi="Arial" w:cs="Arial"/>
          <w:color w:val="000000" w:themeColor="text1"/>
        </w:rPr>
        <w:t>As part of this, it was recognised that</w:t>
      </w:r>
      <w:r w:rsidRPr="00694BCC">
        <w:rPr>
          <w:rFonts w:ascii="Arial" w:hAnsi="Arial" w:cs="Arial"/>
          <w:color w:val="000000" w:themeColor="text1"/>
        </w:rPr>
        <w:t xml:space="preserve"> the </w:t>
      </w:r>
      <w:r>
        <w:rPr>
          <w:rFonts w:ascii="Arial" w:hAnsi="Arial" w:cs="Arial"/>
          <w:color w:val="000000" w:themeColor="text1"/>
        </w:rPr>
        <w:t xml:space="preserve">only outstanding issue was the task of redefining </w:t>
      </w:r>
      <w:r w:rsidRPr="00694BCC">
        <w:rPr>
          <w:rFonts w:ascii="Arial" w:hAnsi="Arial" w:cs="Arial"/>
          <w:color w:val="000000" w:themeColor="text1"/>
        </w:rPr>
        <w:t>our highway network hierarchy</w:t>
      </w:r>
      <w:r>
        <w:rPr>
          <w:rFonts w:ascii="Arial" w:hAnsi="Arial" w:cs="Arial"/>
          <w:color w:val="000000" w:themeColor="text1"/>
        </w:rPr>
        <w:t xml:space="preserve">.  We </w:t>
      </w:r>
      <w:r w:rsidRPr="00694BCC">
        <w:rPr>
          <w:rFonts w:ascii="Arial" w:hAnsi="Arial" w:cs="Arial"/>
          <w:color w:val="000000" w:themeColor="text1"/>
        </w:rPr>
        <w:t>have previously met with the County Councils insurers, Zurich Insurance, to discuss the implementation of '</w:t>
      </w:r>
      <w:r w:rsidRPr="00694BCC">
        <w:rPr>
          <w:rFonts w:ascii="Arial" w:hAnsi="Arial" w:cs="Arial"/>
          <w:bCs/>
          <w:color w:val="000000" w:themeColor="text1"/>
          <w:lang w:val="en"/>
        </w:rPr>
        <w:t xml:space="preserve">Well Managed Highway Infrastructure: Code of Practice' and </w:t>
      </w:r>
      <w:r>
        <w:rPr>
          <w:rFonts w:ascii="Arial" w:hAnsi="Arial" w:cs="Arial"/>
          <w:bCs/>
          <w:color w:val="000000" w:themeColor="text1"/>
          <w:lang w:val="en"/>
        </w:rPr>
        <w:t xml:space="preserve">we raised with them how we were intending to approach this task.  Following discussion </w:t>
      </w:r>
      <w:r w:rsidRPr="00694BCC">
        <w:rPr>
          <w:rFonts w:ascii="Arial" w:hAnsi="Arial" w:cs="Arial"/>
          <w:color w:val="000000" w:themeColor="text1"/>
        </w:rPr>
        <w:t>Zurich Insurance</w:t>
      </w:r>
      <w:r>
        <w:rPr>
          <w:rFonts w:ascii="Arial" w:hAnsi="Arial" w:cs="Arial"/>
          <w:color w:val="000000" w:themeColor="text1"/>
        </w:rPr>
        <w:t xml:space="preserve"> said they were happy with our proposals.</w:t>
      </w:r>
    </w:p>
    <w:p w:rsidR="006B423B" w:rsidRDefault="006B423B" w:rsidP="006B423B">
      <w:pPr>
        <w:spacing w:after="0"/>
        <w:jc w:val="both"/>
      </w:pPr>
    </w:p>
    <w:p w:rsidR="006B423B" w:rsidRDefault="006B423B" w:rsidP="006B423B">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Since 2014 the County Council has undertaken a review of its core systems and has now migrated most of its transport / highway asset inventory data to the Insight, which is a central highways asset management system (HAMS).  As part of this process all legacy inventory systems have been discontinued meaning that some of datasets we used in 2014 are no longer available, or if they are, they are based on a different methodology which makes it difficult to accurately compare some 2014 data to 2018 data.</w:t>
      </w:r>
    </w:p>
    <w:p w:rsidR="006B423B" w:rsidRDefault="006B423B" w:rsidP="006B423B">
      <w:pPr>
        <w:autoSpaceDE w:val="0"/>
        <w:autoSpaceDN w:val="0"/>
        <w:adjustRightInd w:val="0"/>
        <w:spacing w:after="0"/>
        <w:jc w:val="both"/>
        <w:rPr>
          <w:rFonts w:eastAsia="Times New Roman" w:cs="Arial"/>
          <w:bCs/>
          <w:color w:val="000000" w:themeColor="text1"/>
          <w:szCs w:val="24"/>
          <w:lang w:val="en" w:eastAsia="en-GB"/>
        </w:rPr>
      </w:pPr>
    </w:p>
    <w:p w:rsidR="006B423B" w:rsidRDefault="006B423B" w:rsidP="006B423B">
      <w:pPr>
        <w:autoSpaceDE w:val="0"/>
        <w:autoSpaceDN w:val="0"/>
        <w:adjustRightInd w:val="0"/>
        <w:spacing w:after="0"/>
        <w:jc w:val="both"/>
        <w:rPr>
          <w:rFonts w:cs="Arial"/>
        </w:rPr>
      </w:pPr>
      <w:r>
        <w:rPr>
          <w:rFonts w:eastAsia="Times New Roman" w:cs="Arial"/>
          <w:bCs/>
          <w:color w:val="000000" w:themeColor="text1"/>
          <w:szCs w:val="24"/>
          <w:lang w:val="en" w:eastAsia="en-GB"/>
        </w:rPr>
        <w:t xml:space="preserve">As HAMS is a modern system it is able to produce condition data that our legacy systems were not able to do.  As a result of the </w:t>
      </w:r>
      <w:r w:rsidRPr="0010352B">
        <w:rPr>
          <w:rFonts w:cs="Arial"/>
        </w:rPr>
        <w:t>Bridges Lifecycle Plan</w:t>
      </w:r>
      <w:r>
        <w:rPr>
          <w:rFonts w:cs="Arial"/>
        </w:rPr>
        <w:t xml:space="preserve"> we are looking to review how the condition of our bridges is monitored so that it more accurately represents the strategic nature of our structures across our highway network so we can avoid a similar situation to that which occurred recently in Italy were a bridge of a strategic road collapsed without warning.  </w:t>
      </w:r>
    </w:p>
    <w:p w:rsidR="006B423B" w:rsidRDefault="006B423B" w:rsidP="006B423B">
      <w:pPr>
        <w:autoSpaceDE w:val="0"/>
        <w:autoSpaceDN w:val="0"/>
        <w:adjustRightInd w:val="0"/>
        <w:spacing w:after="0"/>
        <w:jc w:val="both"/>
        <w:rPr>
          <w:rFonts w:cs="Arial"/>
        </w:rPr>
      </w:pPr>
    </w:p>
    <w:p w:rsidR="006B423B" w:rsidRDefault="006B423B" w:rsidP="006B423B">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A key task of the TAMP phase 2 therefore is to re-examine what datasets we need in order that we can monitor our asset condition in the most appropriate way.</w:t>
      </w:r>
    </w:p>
    <w:p w:rsidR="006B423B" w:rsidRDefault="006B423B" w:rsidP="00285EC1">
      <w:pPr>
        <w:kinsoku w:val="0"/>
        <w:overflowPunct w:val="0"/>
        <w:spacing w:after="0"/>
        <w:contextualSpacing/>
        <w:jc w:val="both"/>
        <w:textAlignment w:val="baseline"/>
        <w:rPr>
          <w:rFonts w:eastAsiaTheme="minorEastAsia" w:cs="Arial"/>
          <w:color w:val="000000" w:themeColor="text1"/>
          <w:szCs w:val="24"/>
          <w:lang w:eastAsia="en-GB"/>
        </w:rPr>
      </w:pPr>
    </w:p>
    <w:p w:rsidR="00260070" w:rsidRDefault="00260070" w:rsidP="002A259F">
      <w:pPr>
        <w:kinsoku w:val="0"/>
        <w:overflowPunct w:val="0"/>
        <w:spacing w:after="0"/>
        <w:contextualSpacing/>
        <w:jc w:val="both"/>
        <w:textAlignment w:val="baseline"/>
        <w:rPr>
          <w:rFonts w:eastAsiaTheme="minorEastAsia" w:cs="Arial"/>
          <w:color w:val="000000" w:themeColor="text1"/>
          <w:szCs w:val="24"/>
          <w:highlight w:val="yellow"/>
          <w:lang w:eastAsia="en-GB"/>
        </w:rPr>
      </w:pPr>
      <w:r w:rsidRPr="002A259F">
        <w:rPr>
          <w:rFonts w:eastAsiaTheme="minorEastAsia" w:cs="Arial"/>
          <w:color w:val="000000" w:themeColor="text1"/>
          <w:szCs w:val="24"/>
          <w:lang w:eastAsia="en-GB"/>
        </w:rPr>
        <w:t xml:space="preserve">We have allocated £200,000 </w:t>
      </w:r>
      <w:r w:rsidR="002A259F">
        <w:rPr>
          <w:rFonts w:eastAsiaTheme="minorEastAsia" w:cs="Arial"/>
          <w:color w:val="000000" w:themeColor="text1"/>
          <w:szCs w:val="24"/>
          <w:lang w:eastAsia="en-GB"/>
        </w:rPr>
        <w:t xml:space="preserve">during 2018/19 </w:t>
      </w:r>
      <w:r w:rsidRPr="002A259F">
        <w:rPr>
          <w:rFonts w:eastAsiaTheme="minorEastAsia" w:cs="Arial"/>
          <w:color w:val="000000" w:themeColor="text1"/>
          <w:szCs w:val="24"/>
          <w:lang w:eastAsia="en-GB"/>
        </w:rPr>
        <w:t>to the '</w:t>
      </w:r>
      <w:r w:rsidR="002A259F">
        <w:rPr>
          <w:rFonts w:eastAsiaTheme="minorEastAsia" w:cs="Arial"/>
          <w:color w:val="000000" w:themeColor="text1"/>
          <w:szCs w:val="24"/>
          <w:lang w:eastAsia="en-GB"/>
        </w:rPr>
        <w:t>M</w:t>
      </w:r>
      <w:r w:rsidRPr="002A259F">
        <w:rPr>
          <w:rFonts w:eastAsiaTheme="minorEastAsia" w:cs="Arial"/>
          <w:color w:val="000000" w:themeColor="text1"/>
          <w:szCs w:val="24"/>
          <w:lang w:eastAsia="en-GB"/>
        </w:rPr>
        <w:t xml:space="preserve">oss </w:t>
      </w:r>
      <w:r w:rsidR="002A259F">
        <w:rPr>
          <w:rFonts w:eastAsiaTheme="minorEastAsia" w:cs="Arial"/>
          <w:color w:val="000000" w:themeColor="text1"/>
          <w:szCs w:val="24"/>
          <w:lang w:eastAsia="en-GB"/>
        </w:rPr>
        <w:t>R</w:t>
      </w:r>
      <w:r w:rsidRPr="002A259F">
        <w:rPr>
          <w:rFonts w:eastAsiaTheme="minorEastAsia" w:cs="Arial"/>
          <w:color w:val="000000" w:themeColor="text1"/>
          <w:szCs w:val="24"/>
          <w:lang w:eastAsia="en-GB"/>
        </w:rPr>
        <w:t>oad' network</w:t>
      </w:r>
      <w:r w:rsidR="002A259F" w:rsidRPr="002A259F">
        <w:rPr>
          <w:rFonts w:eastAsiaTheme="minorEastAsia" w:cs="Arial"/>
          <w:color w:val="000000" w:themeColor="text1"/>
          <w:szCs w:val="24"/>
          <w:lang w:eastAsia="en-GB"/>
        </w:rPr>
        <w:t xml:space="preserve"> </w:t>
      </w:r>
      <w:r w:rsidRPr="002A259F">
        <w:rPr>
          <w:rFonts w:eastAsiaTheme="minorEastAsia" w:cs="Arial"/>
          <w:color w:val="000000" w:themeColor="text1"/>
          <w:szCs w:val="24"/>
          <w:lang w:eastAsia="en-GB"/>
        </w:rPr>
        <w:t xml:space="preserve">to </w:t>
      </w:r>
      <w:r w:rsidR="00FA1765" w:rsidRPr="002A259F">
        <w:rPr>
          <w:rFonts w:eastAsiaTheme="minorEastAsia" w:cs="Arial"/>
          <w:color w:val="000000" w:themeColor="text1"/>
          <w:szCs w:val="24"/>
          <w:lang w:eastAsia="en-GB"/>
        </w:rPr>
        <w:t>carryout</w:t>
      </w:r>
      <w:r w:rsidR="00FA1765">
        <w:rPr>
          <w:rFonts w:eastAsiaTheme="minorEastAsia" w:cs="Arial"/>
          <w:color w:val="000000" w:themeColor="text1"/>
          <w:szCs w:val="24"/>
          <w:lang w:eastAsia="en-GB"/>
        </w:rPr>
        <w:t xml:space="preserve"> </w:t>
      </w:r>
      <w:r w:rsidR="00FA1765" w:rsidRPr="002A259F">
        <w:rPr>
          <w:rFonts w:eastAsiaTheme="minorEastAsia" w:cs="Arial"/>
          <w:color w:val="000000" w:themeColor="text1"/>
          <w:szCs w:val="24"/>
          <w:lang w:eastAsia="en-GB"/>
        </w:rPr>
        <w:t>re</w:t>
      </w:r>
      <w:r w:rsidRPr="002A259F">
        <w:rPr>
          <w:rFonts w:eastAsiaTheme="minorEastAsia" w:cs="Arial"/>
          <w:color w:val="000000" w:themeColor="text1"/>
          <w:szCs w:val="24"/>
          <w:lang w:eastAsia="en-GB"/>
        </w:rPr>
        <w:t>-tread works</w:t>
      </w:r>
      <w:r w:rsidR="002A259F" w:rsidRPr="002A259F">
        <w:rPr>
          <w:rFonts w:eastAsiaTheme="minorEastAsia" w:cs="Arial"/>
          <w:color w:val="000000" w:themeColor="text1"/>
          <w:szCs w:val="24"/>
          <w:lang w:eastAsia="en-GB"/>
        </w:rPr>
        <w:t xml:space="preserve"> at selected locations</w:t>
      </w:r>
      <w:r w:rsidRPr="002A259F">
        <w:rPr>
          <w:rFonts w:eastAsiaTheme="minorEastAsia" w:cs="Arial"/>
          <w:color w:val="000000" w:themeColor="text1"/>
          <w:szCs w:val="24"/>
          <w:lang w:eastAsia="en-GB"/>
        </w:rPr>
        <w:t xml:space="preserve">.  In order that we can allocate monies </w:t>
      </w:r>
      <w:r w:rsidR="002A259F">
        <w:rPr>
          <w:rFonts w:eastAsiaTheme="minorEastAsia" w:cs="Arial"/>
          <w:color w:val="000000" w:themeColor="text1"/>
          <w:szCs w:val="24"/>
          <w:lang w:eastAsia="en-GB"/>
        </w:rPr>
        <w:t xml:space="preserve">in future </w:t>
      </w:r>
      <w:r w:rsidRPr="002A259F">
        <w:rPr>
          <w:rFonts w:eastAsiaTheme="minorEastAsia" w:cs="Arial"/>
          <w:color w:val="000000" w:themeColor="text1"/>
          <w:szCs w:val="24"/>
          <w:lang w:eastAsia="en-GB"/>
        </w:rPr>
        <w:t xml:space="preserve">based on need we are </w:t>
      </w:r>
      <w:r w:rsidR="002A259F">
        <w:rPr>
          <w:rFonts w:eastAsiaTheme="minorEastAsia" w:cs="Arial"/>
          <w:color w:val="000000" w:themeColor="text1"/>
          <w:szCs w:val="24"/>
          <w:lang w:eastAsia="en-GB"/>
        </w:rPr>
        <w:t xml:space="preserve">developing </w:t>
      </w:r>
      <w:r w:rsidRPr="002A259F">
        <w:rPr>
          <w:rFonts w:eastAsiaTheme="minorEastAsia" w:cs="Arial"/>
          <w:color w:val="000000" w:themeColor="text1"/>
          <w:szCs w:val="24"/>
          <w:lang w:eastAsia="en-GB"/>
        </w:rPr>
        <w:t xml:space="preserve">a 'Moss Road </w:t>
      </w:r>
      <w:r w:rsidR="002A259F" w:rsidRPr="002A259F">
        <w:rPr>
          <w:rFonts w:eastAsiaTheme="minorEastAsia" w:cs="Arial"/>
          <w:color w:val="000000" w:themeColor="text1"/>
          <w:szCs w:val="24"/>
          <w:lang w:eastAsia="en-GB"/>
        </w:rPr>
        <w:t>Strategy</w:t>
      </w:r>
      <w:r w:rsidRPr="002A259F">
        <w:rPr>
          <w:rFonts w:eastAsiaTheme="minorEastAsia" w:cs="Arial"/>
          <w:color w:val="000000" w:themeColor="text1"/>
          <w:szCs w:val="24"/>
          <w:lang w:eastAsia="en-GB"/>
        </w:rPr>
        <w:t xml:space="preserve">' which will look at </w:t>
      </w:r>
      <w:r w:rsidR="002A259F">
        <w:rPr>
          <w:rFonts w:eastAsiaTheme="minorEastAsia" w:cs="Arial"/>
          <w:color w:val="000000" w:themeColor="text1"/>
          <w:szCs w:val="24"/>
          <w:lang w:eastAsia="en-GB"/>
        </w:rPr>
        <w:t xml:space="preserve">setting </w:t>
      </w:r>
      <w:r w:rsidR="002A259F" w:rsidRPr="002A259F">
        <w:rPr>
          <w:rFonts w:eastAsiaTheme="minorEastAsia" w:cs="Arial"/>
          <w:color w:val="000000" w:themeColor="text1"/>
          <w:szCs w:val="24"/>
          <w:lang w:eastAsia="en-GB"/>
        </w:rPr>
        <w:t xml:space="preserve">service standards and defining </w:t>
      </w:r>
      <w:r w:rsidR="002A259F">
        <w:rPr>
          <w:rFonts w:eastAsiaTheme="minorEastAsia" w:cs="Arial"/>
          <w:color w:val="000000" w:themeColor="text1"/>
          <w:szCs w:val="24"/>
          <w:lang w:eastAsia="en-GB"/>
        </w:rPr>
        <w:t xml:space="preserve">the appropriate </w:t>
      </w:r>
      <w:r w:rsidR="002A259F" w:rsidRPr="002A259F">
        <w:rPr>
          <w:rFonts w:eastAsiaTheme="minorEastAsia" w:cs="Arial"/>
          <w:color w:val="000000" w:themeColor="text1"/>
          <w:szCs w:val="24"/>
          <w:lang w:eastAsia="en-GB"/>
        </w:rPr>
        <w:t xml:space="preserve">preventative and reactive works we </w:t>
      </w:r>
      <w:r w:rsidR="002A259F">
        <w:rPr>
          <w:rFonts w:eastAsiaTheme="minorEastAsia" w:cs="Arial"/>
          <w:color w:val="000000" w:themeColor="text1"/>
          <w:szCs w:val="24"/>
          <w:lang w:eastAsia="en-GB"/>
        </w:rPr>
        <w:t>propose to use</w:t>
      </w:r>
      <w:r w:rsidR="002A259F" w:rsidRPr="002A259F">
        <w:rPr>
          <w:rFonts w:eastAsiaTheme="minorEastAsia" w:cs="Arial"/>
          <w:color w:val="000000" w:themeColor="text1"/>
          <w:szCs w:val="24"/>
          <w:lang w:eastAsia="en-GB"/>
        </w:rPr>
        <w:t xml:space="preserve"> on these roads which due to their nature, pose a higher degree of engineering difficulty compared to other road</w:t>
      </w:r>
      <w:r w:rsidR="002A259F">
        <w:rPr>
          <w:rFonts w:eastAsiaTheme="minorEastAsia" w:cs="Arial"/>
          <w:color w:val="000000" w:themeColor="text1"/>
          <w:szCs w:val="24"/>
          <w:lang w:eastAsia="en-GB"/>
        </w:rPr>
        <w:t xml:space="preserve"> types.</w:t>
      </w:r>
    </w:p>
    <w:p w:rsidR="00A77310" w:rsidRDefault="00A77310" w:rsidP="00285EC1">
      <w:pPr>
        <w:kinsoku w:val="0"/>
        <w:overflowPunct w:val="0"/>
        <w:spacing w:after="0"/>
        <w:contextualSpacing/>
        <w:jc w:val="both"/>
        <w:textAlignment w:val="baseline"/>
        <w:rPr>
          <w:rFonts w:eastAsiaTheme="minorEastAsia" w:cs="Arial"/>
          <w:color w:val="000000" w:themeColor="text1"/>
          <w:szCs w:val="24"/>
          <w:lang w:eastAsia="en-GB"/>
        </w:rPr>
      </w:pPr>
    </w:p>
    <w:p w:rsidR="00146DD2" w:rsidRPr="00933FF7" w:rsidRDefault="00AB2033" w:rsidP="00101371">
      <w:pPr>
        <w:pStyle w:val="ListParagraph"/>
        <w:numPr>
          <w:ilvl w:val="0"/>
          <w:numId w:val="10"/>
        </w:numPr>
        <w:autoSpaceDE w:val="0"/>
        <w:autoSpaceDN w:val="0"/>
        <w:adjustRightInd w:val="0"/>
        <w:spacing w:after="0"/>
        <w:jc w:val="both"/>
        <w:rPr>
          <w:rFonts w:eastAsia="Times New Roman" w:cs="Arial"/>
          <w:b/>
          <w:bCs/>
          <w:color w:val="000000" w:themeColor="text1"/>
          <w:szCs w:val="24"/>
          <w:lang w:val="en" w:eastAsia="en-GB"/>
        </w:rPr>
      </w:pPr>
      <w:r w:rsidRPr="00933FF7">
        <w:rPr>
          <w:rFonts w:eastAsia="Times New Roman" w:cs="Arial"/>
          <w:b/>
          <w:bCs/>
          <w:color w:val="000000" w:themeColor="text1"/>
          <w:szCs w:val="24"/>
          <w:lang w:val="en" w:eastAsia="en-GB"/>
        </w:rPr>
        <w:t>DfT Self-Assessment Questionnaire</w:t>
      </w:r>
    </w:p>
    <w:p w:rsidR="00933FF7" w:rsidRDefault="000343AA" w:rsidP="00BA21C9">
      <w:pPr>
        <w:autoSpaceDE w:val="0"/>
        <w:autoSpaceDN w:val="0"/>
        <w:adjustRightInd w:val="0"/>
        <w:spacing w:after="0"/>
        <w:jc w:val="both"/>
        <w:rPr>
          <w:rFonts w:eastAsia="Times New Roman" w:cs="Arial"/>
          <w:bCs/>
          <w:color w:val="000000" w:themeColor="text1"/>
          <w:szCs w:val="24"/>
          <w:lang w:val="en" w:eastAsia="en-GB"/>
        </w:rPr>
      </w:pPr>
      <w:r w:rsidRPr="00933FF7">
        <w:rPr>
          <w:rFonts w:eastAsia="Times New Roman" w:cs="Arial"/>
          <w:bCs/>
          <w:color w:val="000000" w:themeColor="text1"/>
          <w:szCs w:val="24"/>
          <w:lang w:val="en" w:eastAsia="en-GB"/>
        </w:rPr>
        <w:t>As mentioned in the last TAMP refresh</w:t>
      </w:r>
      <w:r w:rsidR="00933FF7">
        <w:rPr>
          <w:rFonts w:eastAsia="Times New Roman" w:cs="Arial"/>
          <w:bCs/>
          <w:color w:val="000000" w:themeColor="text1"/>
          <w:szCs w:val="24"/>
          <w:lang w:val="en" w:eastAsia="en-GB"/>
        </w:rPr>
        <w:t xml:space="preserve">, the DfT have introduced changes to </w:t>
      </w:r>
      <w:r w:rsidR="00933FF7" w:rsidRPr="00933FF7">
        <w:rPr>
          <w:rFonts w:eastAsia="Times New Roman" w:cs="Arial"/>
          <w:bCs/>
          <w:color w:val="000000" w:themeColor="text1"/>
          <w:szCs w:val="24"/>
          <w:lang w:val="en" w:eastAsia="en-GB"/>
        </w:rPr>
        <w:t>the highway maintenance formula funding mechanism</w:t>
      </w:r>
      <w:r w:rsidR="00933FF7">
        <w:rPr>
          <w:rFonts w:eastAsia="Times New Roman" w:cs="Arial"/>
          <w:bCs/>
          <w:color w:val="000000" w:themeColor="text1"/>
          <w:szCs w:val="24"/>
          <w:lang w:val="en" w:eastAsia="en-GB"/>
        </w:rPr>
        <w:t xml:space="preserve"> </w:t>
      </w:r>
      <w:r w:rsidRPr="00933FF7">
        <w:rPr>
          <w:rFonts w:eastAsia="Times New Roman" w:cs="Arial"/>
          <w:bCs/>
          <w:color w:val="000000" w:themeColor="text1"/>
          <w:szCs w:val="24"/>
          <w:lang w:val="en" w:eastAsia="en-GB"/>
        </w:rPr>
        <w:t>at i</w:t>
      </w:r>
      <w:r w:rsidR="00E02FCD" w:rsidRPr="00933FF7">
        <w:rPr>
          <w:rFonts w:eastAsia="Times New Roman" w:cs="Arial"/>
          <w:bCs/>
          <w:color w:val="000000" w:themeColor="text1"/>
          <w:szCs w:val="24"/>
          <w:lang w:val="en" w:eastAsia="en-GB"/>
        </w:rPr>
        <w:t xml:space="preserve">n order to encourage local authorities to adopt </w:t>
      </w:r>
      <w:r w:rsidR="005C1E41" w:rsidRPr="00933FF7">
        <w:rPr>
          <w:rFonts w:eastAsia="Times New Roman" w:cs="Arial"/>
          <w:bCs/>
          <w:color w:val="000000" w:themeColor="text1"/>
          <w:szCs w:val="24"/>
          <w:lang w:val="en" w:eastAsia="en-GB"/>
        </w:rPr>
        <w:t xml:space="preserve">good asset </w:t>
      </w:r>
      <w:r w:rsidR="00933FF7">
        <w:rPr>
          <w:rFonts w:eastAsia="Times New Roman" w:cs="Arial"/>
          <w:bCs/>
          <w:color w:val="000000" w:themeColor="text1"/>
          <w:szCs w:val="24"/>
          <w:lang w:val="en" w:eastAsia="en-GB"/>
        </w:rPr>
        <w:t>ma</w:t>
      </w:r>
      <w:r w:rsidR="005C1E41" w:rsidRPr="00933FF7">
        <w:rPr>
          <w:rFonts w:eastAsia="Times New Roman" w:cs="Arial"/>
          <w:bCs/>
          <w:color w:val="000000" w:themeColor="text1"/>
          <w:szCs w:val="24"/>
          <w:lang w:val="en" w:eastAsia="en-GB"/>
        </w:rPr>
        <w:t>nagement practice</w:t>
      </w:r>
      <w:r w:rsidR="00AE109B" w:rsidRPr="00933FF7">
        <w:rPr>
          <w:rFonts w:eastAsia="Times New Roman" w:cs="Arial"/>
          <w:bCs/>
          <w:color w:val="000000" w:themeColor="text1"/>
          <w:szCs w:val="24"/>
          <w:lang w:val="en" w:eastAsia="en-GB"/>
        </w:rPr>
        <w:t>s</w:t>
      </w:r>
      <w:r w:rsidR="005C1E41" w:rsidRPr="00933FF7">
        <w:rPr>
          <w:rFonts w:eastAsia="Times New Roman" w:cs="Arial"/>
          <w:bCs/>
          <w:color w:val="000000" w:themeColor="text1"/>
          <w:szCs w:val="24"/>
          <w:lang w:val="en" w:eastAsia="en-GB"/>
        </w:rPr>
        <w:t xml:space="preserve"> across England</w:t>
      </w:r>
      <w:r w:rsidR="00933FF7">
        <w:rPr>
          <w:rFonts w:eastAsia="Times New Roman" w:cs="Arial"/>
          <w:bCs/>
          <w:color w:val="000000" w:themeColor="text1"/>
          <w:szCs w:val="24"/>
          <w:lang w:val="en" w:eastAsia="en-GB"/>
        </w:rPr>
        <w:t>.</w:t>
      </w:r>
    </w:p>
    <w:p w:rsidR="00933FF7" w:rsidRDefault="00933FF7" w:rsidP="00BA21C9">
      <w:pPr>
        <w:autoSpaceDE w:val="0"/>
        <w:autoSpaceDN w:val="0"/>
        <w:adjustRightInd w:val="0"/>
        <w:spacing w:after="0"/>
        <w:jc w:val="both"/>
        <w:rPr>
          <w:rFonts w:eastAsia="Times New Roman" w:cs="Arial"/>
          <w:bCs/>
          <w:color w:val="000000" w:themeColor="text1"/>
          <w:szCs w:val="24"/>
          <w:lang w:val="en" w:eastAsia="en-GB"/>
        </w:rPr>
      </w:pPr>
    </w:p>
    <w:p w:rsidR="00D52AA6" w:rsidRPr="00933FF7" w:rsidRDefault="00E02FCD" w:rsidP="00BA21C9">
      <w:pPr>
        <w:autoSpaceDE w:val="0"/>
        <w:autoSpaceDN w:val="0"/>
        <w:adjustRightInd w:val="0"/>
        <w:spacing w:after="0"/>
        <w:jc w:val="both"/>
        <w:rPr>
          <w:rFonts w:eastAsia="Times New Roman" w:cs="Arial"/>
          <w:bCs/>
          <w:color w:val="000000" w:themeColor="text1"/>
          <w:szCs w:val="24"/>
          <w:lang w:val="en" w:eastAsia="en-GB"/>
        </w:rPr>
      </w:pPr>
      <w:r w:rsidRPr="00933FF7">
        <w:rPr>
          <w:rFonts w:eastAsia="Times New Roman" w:cs="Arial"/>
          <w:bCs/>
          <w:color w:val="000000" w:themeColor="text1"/>
          <w:szCs w:val="24"/>
          <w:lang w:val="en" w:eastAsia="en-GB"/>
        </w:rPr>
        <w:t xml:space="preserve">As a result </w:t>
      </w:r>
      <w:r w:rsidR="005C1E41" w:rsidRPr="00933FF7">
        <w:rPr>
          <w:rFonts w:eastAsia="Times New Roman" w:cs="Arial"/>
          <w:bCs/>
          <w:color w:val="000000" w:themeColor="text1"/>
          <w:szCs w:val="24"/>
          <w:lang w:val="en" w:eastAsia="en-GB"/>
        </w:rPr>
        <w:t xml:space="preserve">each authority </w:t>
      </w:r>
      <w:r w:rsidRPr="00933FF7">
        <w:rPr>
          <w:rFonts w:eastAsia="Times New Roman" w:cs="Arial"/>
          <w:bCs/>
          <w:color w:val="000000" w:themeColor="text1"/>
          <w:szCs w:val="24"/>
          <w:lang w:val="en" w:eastAsia="en-GB"/>
        </w:rPr>
        <w:t xml:space="preserve">will now be </w:t>
      </w:r>
      <w:r w:rsidR="005C1E41" w:rsidRPr="00933FF7">
        <w:rPr>
          <w:rFonts w:eastAsia="Times New Roman" w:cs="Arial"/>
          <w:bCs/>
          <w:color w:val="000000" w:themeColor="text1"/>
          <w:szCs w:val="24"/>
          <w:lang w:val="en" w:eastAsia="en-GB"/>
        </w:rPr>
        <w:t xml:space="preserve">required to undertake a self-assessment against </w:t>
      </w:r>
      <w:r w:rsidRPr="00933FF7">
        <w:rPr>
          <w:rFonts w:eastAsia="Times New Roman" w:cs="Arial"/>
          <w:bCs/>
          <w:color w:val="000000" w:themeColor="text1"/>
          <w:szCs w:val="24"/>
          <w:lang w:val="en" w:eastAsia="en-GB"/>
        </w:rPr>
        <w:t>a</w:t>
      </w:r>
      <w:r w:rsidR="00772F13" w:rsidRPr="00933FF7">
        <w:rPr>
          <w:rFonts w:eastAsia="Times New Roman" w:cs="Arial"/>
          <w:bCs/>
          <w:color w:val="000000" w:themeColor="text1"/>
          <w:szCs w:val="24"/>
          <w:lang w:val="en" w:eastAsia="en-GB"/>
        </w:rPr>
        <w:t xml:space="preserve"> set of crite</w:t>
      </w:r>
      <w:r w:rsidR="005C1E41" w:rsidRPr="00933FF7">
        <w:rPr>
          <w:rFonts w:eastAsia="Times New Roman" w:cs="Arial"/>
          <w:bCs/>
          <w:color w:val="000000" w:themeColor="text1"/>
          <w:szCs w:val="24"/>
          <w:lang w:val="en" w:eastAsia="en-GB"/>
        </w:rPr>
        <w:t>ria</w:t>
      </w:r>
      <w:r w:rsidR="00D52AA6" w:rsidRPr="00933FF7">
        <w:rPr>
          <w:rFonts w:eastAsia="Times New Roman" w:cs="Arial"/>
          <w:bCs/>
          <w:color w:val="000000" w:themeColor="text1"/>
          <w:szCs w:val="24"/>
          <w:lang w:val="en" w:eastAsia="en-GB"/>
        </w:rPr>
        <w:t xml:space="preserve"> </w:t>
      </w:r>
      <w:r w:rsidR="009C3D7B" w:rsidRPr="00933FF7">
        <w:rPr>
          <w:rFonts w:cs="Arial"/>
          <w:color w:val="000000" w:themeColor="text1"/>
        </w:rPr>
        <w:t xml:space="preserve">aimed at assessing performance in relation to asset management, resilience, customer, benchmarking </w:t>
      </w:r>
      <w:r w:rsidR="001D2B8D" w:rsidRPr="00933FF7">
        <w:rPr>
          <w:rFonts w:cs="Arial"/>
          <w:color w:val="000000" w:themeColor="text1"/>
        </w:rPr>
        <w:t xml:space="preserve">and </w:t>
      </w:r>
      <w:r w:rsidR="009C3D7B" w:rsidRPr="00933FF7">
        <w:rPr>
          <w:rFonts w:cs="Arial"/>
          <w:color w:val="000000" w:themeColor="text1"/>
        </w:rPr>
        <w:t>efficiency and operational delivery.</w:t>
      </w:r>
    </w:p>
    <w:p w:rsidR="00864F34" w:rsidRPr="00933FF7" w:rsidRDefault="009C3D7B" w:rsidP="00BA21C9">
      <w:pPr>
        <w:autoSpaceDE w:val="0"/>
        <w:autoSpaceDN w:val="0"/>
        <w:adjustRightInd w:val="0"/>
        <w:spacing w:after="0"/>
        <w:jc w:val="both"/>
        <w:rPr>
          <w:rFonts w:eastAsia="Times New Roman" w:cs="Arial"/>
          <w:bCs/>
          <w:color w:val="000000" w:themeColor="text1"/>
          <w:szCs w:val="24"/>
          <w:lang w:val="en" w:eastAsia="en-GB"/>
        </w:rPr>
      </w:pPr>
      <w:r w:rsidRPr="00933FF7">
        <w:rPr>
          <w:rFonts w:eastAsia="Times New Roman" w:cs="Arial"/>
          <w:bCs/>
          <w:color w:val="000000" w:themeColor="text1"/>
          <w:szCs w:val="24"/>
          <w:lang w:val="en" w:eastAsia="en-GB"/>
        </w:rPr>
        <w:t xml:space="preserve">Our </w:t>
      </w:r>
      <w:r w:rsidR="00933FF7" w:rsidRPr="00933FF7">
        <w:rPr>
          <w:rFonts w:eastAsia="Times New Roman" w:cs="Arial"/>
          <w:bCs/>
          <w:color w:val="000000" w:themeColor="text1"/>
          <w:szCs w:val="24"/>
          <w:lang w:val="en" w:eastAsia="en-GB"/>
        </w:rPr>
        <w:t>last self-</w:t>
      </w:r>
      <w:r w:rsidRPr="00933FF7">
        <w:rPr>
          <w:rFonts w:eastAsia="Times New Roman" w:cs="Arial"/>
          <w:bCs/>
          <w:color w:val="000000" w:themeColor="text1"/>
          <w:szCs w:val="24"/>
          <w:lang w:val="en" w:eastAsia="en-GB"/>
        </w:rPr>
        <w:t xml:space="preserve">assessment </w:t>
      </w:r>
      <w:r w:rsidR="00864F34" w:rsidRPr="00933FF7">
        <w:rPr>
          <w:rFonts w:eastAsia="Times New Roman" w:cs="Arial"/>
          <w:bCs/>
          <w:color w:val="000000" w:themeColor="text1"/>
          <w:szCs w:val="24"/>
          <w:lang w:val="en" w:eastAsia="en-GB"/>
        </w:rPr>
        <w:t>w</w:t>
      </w:r>
      <w:r w:rsidR="00D52AA6" w:rsidRPr="00933FF7">
        <w:rPr>
          <w:rFonts w:eastAsia="Times New Roman" w:cs="Arial"/>
          <w:bCs/>
          <w:color w:val="000000" w:themeColor="text1"/>
          <w:szCs w:val="24"/>
          <w:lang w:val="en" w:eastAsia="en-GB"/>
        </w:rPr>
        <w:t>as</w:t>
      </w:r>
      <w:r w:rsidR="00E02FCD" w:rsidRPr="00933FF7">
        <w:rPr>
          <w:rFonts w:eastAsia="Times New Roman" w:cs="Arial"/>
          <w:bCs/>
          <w:color w:val="000000" w:themeColor="text1"/>
          <w:szCs w:val="24"/>
          <w:lang w:val="en" w:eastAsia="en-GB"/>
        </w:rPr>
        <w:t xml:space="preserve"> </w:t>
      </w:r>
      <w:r w:rsidR="005C1E41" w:rsidRPr="00933FF7">
        <w:rPr>
          <w:rFonts w:eastAsia="Times New Roman" w:cs="Arial"/>
          <w:bCs/>
          <w:color w:val="000000" w:themeColor="text1"/>
          <w:szCs w:val="24"/>
          <w:lang w:val="en" w:eastAsia="en-GB"/>
        </w:rPr>
        <w:t xml:space="preserve">validated by the </w:t>
      </w:r>
      <w:r w:rsidR="00864F34" w:rsidRPr="00933FF7">
        <w:rPr>
          <w:rFonts w:eastAsia="Times New Roman" w:cs="Arial"/>
          <w:bCs/>
          <w:color w:val="000000" w:themeColor="text1"/>
          <w:szCs w:val="24"/>
          <w:lang w:val="en" w:eastAsia="en-GB"/>
        </w:rPr>
        <w:t xml:space="preserve">County Council's </w:t>
      </w:r>
      <w:r w:rsidR="005C1E41" w:rsidRPr="00933FF7">
        <w:rPr>
          <w:rFonts w:eastAsia="Times New Roman" w:cs="Arial"/>
          <w:bCs/>
          <w:color w:val="000000" w:themeColor="text1"/>
          <w:szCs w:val="24"/>
          <w:lang w:val="en" w:eastAsia="en-GB"/>
        </w:rPr>
        <w:t>s151 office</w:t>
      </w:r>
      <w:r w:rsidR="00E02FCD" w:rsidRPr="00933FF7">
        <w:rPr>
          <w:rFonts w:eastAsia="Times New Roman" w:cs="Arial"/>
          <w:bCs/>
          <w:color w:val="000000" w:themeColor="text1"/>
          <w:szCs w:val="24"/>
          <w:lang w:val="en" w:eastAsia="en-GB"/>
        </w:rPr>
        <w:t xml:space="preserve">r </w:t>
      </w:r>
      <w:r w:rsidR="00864F34" w:rsidRPr="00933FF7">
        <w:rPr>
          <w:rFonts w:eastAsia="Times New Roman" w:cs="Arial"/>
          <w:bCs/>
          <w:color w:val="000000" w:themeColor="text1"/>
          <w:szCs w:val="24"/>
          <w:lang w:val="en" w:eastAsia="en-GB"/>
        </w:rPr>
        <w:t xml:space="preserve">and </w:t>
      </w:r>
      <w:r w:rsidR="00E02FCD" w:rsidRPr="00933FF7">
        <w:rPr>
          <w:rFonts w:eastAsia="Times New Roman" w:cs="Arial"/>
          <w:bCs/>
          <w:color w:val="000000" w:themeColor="text1"/>
          <w:szCs w:val="24"/>
          <w:lang w:val="en" w:eastAsia="en-GB"/>
        </w:rPr>
        <w:t>submi</w:t>
      </w:r>
      <w:r w:rsidR="00864F34" w:rsidRPr="00933FF7">
        <w:rPr>
          <w:rFonts w:eastAsia="Times New Roman" w:cs="Arial"/>
          <w:bCs/>
          <w:color w:val="000000" w:themeColor="text1"/>
          <w:szCs w:val="24"/>
          <w:lang w:val="en" w:eastAsia="en-GB"/>
        </w:rPr>
        <w:t xml:space="preserve">tted </w:t>
      </w:r>
      <w:r w:rsidR="00E02FCD" w:rsidRPr="00933FF7">
        <w:rPr>
          <w:rFonts w:eastAsia="Times New Roman" w:cs="Arial"/>
          <w:bCs/>
          <w:color w:val="000000" w:themeColor="text1"/>
          <w:szCs w:val="24"/>
          <w:lang w:val="en" w:eastAsia="en-GB"/>
        </w:rPr>
        <w:t xml:space="preserve">to the </w:t>
      </w:r>
      <w:r w:rsidRPr="00933FF7">
        <w:rPr>
          <w:rFonts w:eastAsia="Times New Roman" w:cs="Arial"/>
          <w:bCs/>
          <w:color w:val="000000" w:themeColor="text1"/>
          <w:szCs w:val="24"/>
          <w:lang w:val="en" w:eastAsia="en-GB"/>
        </w:rPr>
        <w:t>DfT</w:t>
      </w:r>
      <w:r w:rsidR="00864F34" w:rsidRPr="00933FF7">
        <w:rPr>
          <w:rFonts w:eastAsia="Times New Roman" w:cs="Arial"/>
          <w:bCs/>
          <w:color w:val="000000" w:themeColor="text1"/>
          <w:szCs w:val="24"/>
          <w:lang w:val="en" w:eastAsia="en-GB"/>
        </w:rPr>
        <w:t xml:space="preserve"> in January 201</w:t>
      </w:r>
      <w:r w:rsidR="00B36AB8" w:rsidRPr="00933FF7">
        <w:rPr>
          <w:rFonts w:eastAsia="Times New Roman" w:cs="Arial"/>
          <w:bCs/>
          <w:color w:val="000000" w:themeColor="text1"/>
          <w:szCs w:val="24"/>
          <w:lang w:val="en" w:eastAsia="en-GB"/>
        </w:rPr>
        <w:t>8</w:t>
      </w:r>
      <w:r w:rsidR="00864F34" w:rsidRPr="00933FF7">
        <w:rPr>
          <w:rFonts w:eastAsia="Times New Roman" w:cs="Arial"/>
          <w:bCs/>
          <w:color w:val="000000" w:themeColor="text1"/>
          <w:szCs w:val="24"/>
          <w:lang w:val="en" w:eastAsia="en-GB"/>
        </w:rPr>
        <w:t xml:space="preserve">.  As a result of this exercise, the </w:t>
      </w:r>
      <w:r w:rsidR="008A28EE" w:rsidRPr="00933FF7">
        <w:rPr>
          <w:rFonts w:eastAsia="Times New Roman" w:cs="Arial"/>
          <w:bCs/>
          <w:color w:val="000000" w:themeColor="text1"/>
          <w:szCs w:val="24"/>
          <w:lang w:val="en" w:eastAsia="en-GB"/>
        </w:rPr>
        <w:t>C</w:t>
      </w:r>
      <w:r w:rsidR="00864F34" w:rsidRPr="00933FF7">
        <w:rPr>
          <w:rFonts w:eastAsia="Times New Roman" w:cs="Arial"/>
          <w:bCs/>
          <w:color w:val="000000" w:themeColor="text1"/>
          <w:szCs w:val="24"/>
          <w:lang w:val="en" w:eastAsia="en-GB"/>
        </w:rPr>
        <w:t xml:space="preserve">ounty </w:t>
      </w:r>
      <w:r w:rsidR="008A28EE" w:rsidRPr="00933FF7">
        <w:rPr>
          <w:rFonts w:eastAsia="Times New Roman" w:cs="Arial"/>
          <w:bCs/>
          <w:color w:val="000000" w:themeColor="text1"/>
          <w:szCs w:val="24"/>
          <w:lang w:val="en" w:eastAsia="en-GB"/>
        </w:rPr>
        <w:t>C</w:t>
      </w:r>
      <w:r w:rsidR="00864F34" w:rsidRPr="00933FF7">
        <w:rPr>
          <w:rFonts w:eastAsia="Times New Roman" w:cs="Arial"/>
          <w:bCs/>
          <w:color w:val="000000" w:themeColor="text1"/>
          <w:szCs w:val="24"/>
          <w:lang w:val="en" w:eastAsia="en-GB"/>
        </w:rPr>
        <w:t xml:space="preserve">ouncil assessed itself </w:t>
      </w:r>
      <w:r w:rsidR="00933FF7" w:rsidRPr="00933FF7">
        <w:rPr>
          <w:rFonts w:eastAsia="Times New Roman" w:cs="Arial"/>
          <w:bCs/>
          <w:color w:val="000000" w:themeColor="text1"/>
          <w:szCs w:val="24"/>
          <w:lang w:val="en" w:eastAsia="en-GB"/>
        </w:rPr>
        <w:t xml:space="preserve">as still being a </w:t>
      </w:r>
      <w:r w:rsidR="00864F34" w:rsidRPr="00933FF7">
        <w:rPr>
          <w:rFonts w:eastAsia="Times New Roman" w:cs="Arial"/>
          <w:bCs/>
          <w:color w:val="000000" w:themeColor="text1"/>
          <w:szCs w:val="24"/>
          <w:lang w:val="en" w:eastAsia="en-GB"/>
        </w:rPr>
        <w:t xml:space="preserve">Band </w:t>
      </w:r>
      <w:r w:rsidR="000343AA" w:rsidRPr="00933FF7">
        <w:rPr>
          <w:rFonts w:eastAsia="Times New Roman" w:cs="Arial"/>
          <w:bCs/>
          <w:color w:val="000000" w:themeColor="text1"/>
          <w:szCs w:val="24"/>
          <w:lang w:val="en" w:eastAsia="en-GB"/>
        </w:rPr>
        <w:t>3</w:t>
      </w:r>
      <w:r w:rsidR="00864F34" w:rsidRPr="00933FF7">
        <w:rPr>
          <w:rFonts w:eastAsia="Times New Roman" w:cs="Arial"/>
          <w:bCs/>
          <w:color w:val="000000" w:themeColor="text1"/>
          <w:szCs w:val="24"/>
          <w:lang w:val="en" w:eastAsia="en-GB"/>
        </w:rPr>
        <w:t xml:space="preserve"> authority.</w:t>
      </w:r>
    </w:p>
    <w:p w:rsidR="00864F34" w:rsidRPr="00933FF7" w:rsidRDefault="00864F34" w:rsidP="00BA21C9">
      <w:pPr>
        <w:autoSpaceDE w:val="0"/>
        <w:autoSpaceDN w:val="0"/>
        <w:adjustRightInd w:val="0"/>
        <w:spacing w:after="0"/>
        <w:jc w:val="both"/>
        <w:rPr>
          <w:rFonts w:eastAsia="Times New Roman" w:cs="Arial"/>
          <w:bCs/>
          <w:color w:val="000000" w:themeColor="text1"/>
          <w:szCs w:val="24"/>
          <w:lang w:val="en" w:eastAsia="en-GB"/>
        </w:rPr>
      </w:pPr>
    </w:p>
    <w:p w:rsidR="005C1E41" w:rsidRPr="00933FF7" w:rsidRDefault="000343AA" w:rsidP="00BA21C9">
      <w:pPr>
        <w:autoSpaceDE w:val="0"/>
        <w:autoSpaceDN w:val="0"/>
        <w:adjustRightInd w:val="0"/>
        <w:spacing w:after="0"/>
        <w:jc w:val="both"/>
        <w:rPr>
          <w:rFonts w:eastAsia="Times New Roman" w:cs="Arial"/>
          <w:bCs/>
          <w:color w:val="000000" w:themeColor="text1"/>
          <w:szCs w:val="24"/>
          <w:lang w:val="en" w:eastAsia="en-GB"/>
        </w:rPr>
      </w:pPr>
      <w:r w:rsidRPr="00933FF7">
        <w:rPr>
          <w:rFonts w:eastAsia="Times New Roman" w:cs="Arial"/>
          <w:bCs/>
          <w:color w:val="000000" w:themeColor="text1"/>
          <w:szCs w:val="24"/>
          <w:lang w:val="en" w:eastAsia="en-GB"/>
        </w:rPr>
        <w:t xml:space="preserve">Should the </w:t>
      </w:r>
      <w:r w:rsidR="008A28EE" w:rsidRPr="00933FF7">
        <w:rPr>
          <w:rFonts w:eastAsia="Times New Roman" w:cs="Arial"/>
          <w:bCs/>
          <w:color w:val="000000" w:themeColor="text1"/>
          <w:szCs w:val="24"/>
          <w:lang w:val="en" w:eastAsia="en-GB"/>
        </w:rPr>
        <w:t>C</w:t>
      </w:r>
      <w:r w:rsidRPr="00933FF7">
        <w:rPr>
          <w:rFonts w:eastAsia="Times New Roman" w:cs="Arial"/>
          <w:bCs/>
          <w:color w:val="000000" w:themeColor="text1"/>
          <w:szCs w:val="24"/>
          <w:lang w:val="en" w:eastAsia="en-GB"/>
        </w:rPr>
        <w:t xml:space="preserve">ounty </w:t>
      </w:r>
      <w:r w:rsidR="008A28EE" w:rsidRPr="00933FF7">
        <w:rPr>
          <w:rFonts w:eastAsia="Times New Roman" w:cs="Arial"/>
          <w:bCs/>
          <w:color w:val="000000" w:themeColor="text1"/>
          <w:szCs w:val="24"/>
          <w:lang w:val="en" w:eastAsia="en-GB"/>
        </w:rPr>
        <w:t>C</w:t>
      </w:r>
      <w:r w:rsidRPr="00933FF7">
        <w:rPr>
          <w:rFonts w:eastAsia="Times New Roman" w:cs="Arial"/>
          <w:bCs/>
          <w:color w:val="000000" w:themeColor="text1"/>
          <w:szCs w:val="24"/>
          <w:lang w:val="en" w:eastAsia="en-GB"/>
        </w:rPr>
        <w:t>ouncil not consider itself to a Band 3 authority when the next self-assessment exercise takes place</w:t>
      </w:r>
      <w:r w:rsidR="00BB2144" w:rsidRPr="00933FF7">
        <w:rPr>
          <w:rFonts w:eastAsia="Times New Roman" w:cs="Arial"/>
          <w:bCs/>
          <w:color w:val="000000" w:themeColor="text1"/>
          <w:szCs w:val="24"/>
          <w:lang w:val="en" w:eastAsia="en-GB"/>
        </w:rPr>
        <w:t xml:space="preserve"> in January 201</w:t>
      </w:r>
      <w:r w:rsidR="00B36AB8" w:rsidRPr="00933FF7">
        <w:rPr>
          <w:rFonts w:eastAsia="Times New Roman" w:cs="Arial"/>
          <w:bCs/>
          <w:color w:val="000000" w:themeColor="text1"/>
          <w:szCs w:val="24"/>
          <w:lang w:val="en" w:eastAsia="en-GB"/>
        </w:rPr>
        <w:t>9</w:t>
      </w:r>
      <w:r w:rsidR="00BB2144" w:rsidRPr="00933FF7">
        <w:rPr>
          <w:rFonts w:eastAsia="Times New Roman" w:cs="Arial"/>
          <w:bCs/>
          <w:color w:val="000000" w:themeColor="text1"/>
          <w:szCs w:val="24"/>
          <w:lang w:val="en" w:eastAsia="en-GB"/>
        </w:rPr>
        <w:t xml:space="preserve">, </w:t>
      </w:r>
      <w:r w:rsidRPr="00933FF7">
        <w:rPr>
          <w:rFonts w:eastAsia="Times New Roman" w:cs="Arial"/>
          <w:bCs/>
          <w:color w:val="000000" w:themeColor="text1"/>
          <w:szCs w:val="24"/>
          <w:lang w:val="en" w:eastAsia="en-GB"/>
        </w:rPr>
        <w:t>it will only receive part of its I</w:t>
      </w:r>
      <w:r w:rsidR="00B36AB8" w:rsidRPr="00933FF7">
        <w:rPr>
          <w:rFonts w:eastAsia="Times New Roman" w:cs="Arial"/>
          <w:bCs/>
          <w:color w:val="000000" w:themeColor="text1"/>
          <w:szCs w:val="24"/>
          <w:lang w:val="en" w:eastAsia="en-GB"/>
        </w:rPr>
        <w:t>ncentive Fund allocation in 2019/20</w:t>
      </w:r>
      <w:r w:rsidRPr="00933FF7">
        <w:rPr>
          <w:rFonts w:eastAsia="Times New Roman" w:cs="Arial"/>
          <w:bCs/>
          <w:color w:val="000000" w:themeColor="text1"/>
          <w:szCs w:val="24"/>
          <w:lang w:val="en" w:eastAsia="en-GB"/>
        </w:rPr>
        <w:t xml:space="preserve">.  </w:t>
      </w:r>
      <w:r w:rsidR="00D52AA6" w:rsidRPr="00933FF7">
        <w:rPr>
          <w:rFonts w:eastAsia="Times New Roman" w:cs="Arial"/>
          <w:bCs/>
          <w:color w:val="000000" w:themeColor="text1"/>
          <w:szCs w:val="24"/>
          <w:lang w:val="en" w:eastAsia="en-GB"/>
        </w:rPr>
        <w:t xml:space="preserve">Details of the </w:t>
      </w:r>
      <w:r w:rsidR="005C1E41" w:rsidRPr="00933FF7">
        <w:rPr>
          <w:rFonts w:eastAsia="Times New Roman" w:cs="Arial"/>
          <w:bCs/>
          <w:color w:val="000000" w:themeColor="text1"/>
          <w:szCs w:val="24"/>
          <w:lang w:val="en" w:eastAsia="en-GB"/>
        </w:rPr>
        <w:t>'incentive band</w:t>
      </w:r>
      <w:r w:rsidR="00D52AA6" w:rsidRPr="00933FF7">
        <w:rPr>
          <w:rFonts w:eastAsia="Times New Roman" w:cs="Arial"/>
          <w:bCs/>
          <w:color w:val="000000" w:themeColor="text1"/>
          <w:szCs w:val="24"/>
          <w:lang w:val="en" w:eastAsia="en-GB"/>
        </w:rPr>
        <w:t>s</w:t>
      </w:r>
      <w:r w:rsidR="005C1E41" w:rsidRPr="00933FF7">
        <w:rPr>
          <w:rFonts w:eastAsia="Times New Roman" w:cs="Arial"/>
          <w:bCs/>
          <w:color w:val="000000" w:themeColor="text1"/>
          <w:szCs w:val="24"/>
          <w:lang w:val="en" w:eastAsia="en-GB"/>
        </w:rPr>
        <w:t>' a</w:t>
      </w:r>
      <w:r w:rsidR="00D52AA6" w:rsidRPr="00933FF7">
        <w:rPr>
          <w:rFonts w:eastAsia="Times New Roman" w:cs="Arial"/>
          <w:bCs/>
          <w:color w:val="000000" w:themeColor="text1"/>
          <w:szCs w:val="24"/>
          <w:lang w:val="en" w:eastAsia="en-GB"/>
        </w:rPr>
        <w:t>nd funding</w:t>
      </w:r>
      <w:r w:rsidR="004C418D" w:rsidRPr="00933FF7">
        <w:rPr>
          <w:rFonts w:eastAsia="Times New Roman" w:cs="Arial"/>
          <w:bCs/>
          <w:color w:val="000000" w:themeColor="text1"/>
          <w:szCs w:val="24"/>
          <w:lang w:val="en" w:eastAsia="en-GB"/>
        </w:rPr>
        <w:t xml:space="preserve"> % </w:t>
      </w:r>
      <w:r w:rsidR="00AB2033" w:rsidRPr="00933FF7">
        <w:rPr>
          <w:rFonts w:eastAsia="Times New Roman" w:cs="Arial"/>
          <w:bCs/>
          <w:color w:val="000000" w:themeColor="text1"/>
          <w:szCs w:val="24"/>
          <w:lang w:val="en" w:eastAsia="en-GB"/>
        </w:rPr>
        <w:t xml:space="preserve">for future years </w:t>
      </w:r>
      <w:r w:rsidR="0049481F" w:rsidRPr="00933FF7">
        <w:rPr>
          <w:rFonts w:eastAsia="Times New Roman" w:cs="Arial"/>
          <w:bCs/>
          <w:color w:val="000000" w:themeColor="text1"/>
          <w:szCs w:val="24"/>
          <w:lang w:val="en" w:eastAsia="en-GB"/>
        </w:rPr>
        <w:t>are shown</w:t>
      </w:r>
      <w:r w:rsidR="005C1E41" w:rsidRPr="00933FF7">
        <w:rPr>
          <w:rFonts w:eastAsia="Times New Roman" w:cs="Arial"/>
          <w:bCs/>
          <w:color w:val="000000" w:themeColor="text1"/>
          <w:szCs w:val="24"/>
          <w:lang w:val="en" w:eastAsia="en-GB"/>
        </w:rPr>
        <w:t xml:space="preserve"> below:-</w:t>
      </w:r>
    </w:p>
    <w:p w:rsidR="00933FF7" w:rsidRPr="00933FF7" w:rsidRDefault="00933FF7" w:rsidP="00BA21C9">
      <w:pPr>
        <w:autoSpaceDE w:val="0"/>
        <w:autoSpaceDN w:val="0"/>
        <w:adjustRightInd w:val="0"/>
        <w:spacing w:after="0"/>
        <w:jc w:val="both"/>
        <w:rPr>
          <w:rFonts w:eastAsia="Times New Roman" w:cs="Arial"/>
          <w:bCs/>
          <w:color w:val="000000" w:themeColor="text1"/>
          <w:szCs w:val="24"/>
          <w:lang w:val="en" w:eastAsia="en-GB"/>
        </w:rPr>
      </w:pPr>
    </w:p>
    <w:tbl>
      <w:tblPr>
        <w:tblStyle w:val="TableGrid"/>
        <w:tblW w:w="0" w:type="auto"/>
        <w:jc w:val="center"/>
        <w:tblLook w:val="04A0" w:firstRow="1" w:lastRow="0" w:firstColumn="1" w:lastColumn="0" w:noHBand="0" w:noVBand="1"/>
      </w:tblPr>
      <w:tblGrid>
        <w:gridCol w:w="1417"/>
        <w:gridCol w:w="1417"/>
        <w:gridCol w:w="1417"/>
        <w:gridCol w:w="1417"/>
      </w:tblGrid>
      <w:tr w:rsidR="005C1E41" w:rsidRPr="00B36AB8" w:rsidTr="00A86732">
        <w:trPr>
          <w:jc w:val="center"/>
        </w:trPr>
        <w:tc>
          <w:tcPr>
            <w:tcW w:w="1417" w:type="dxa"/>
            <w:shd w:val="clear" w:color="auto" w:fill="FBD4B4" w:themeFill="accent6" w:themeFillTint="66"/>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Year</w:t>
            </w:r>
          </w:p>
        </w:tc>
        <w:tc>
          <w:tcPr>
            <w:tcW w:w="1417" w:type="dxa"/>
            <w:shd w:val="clear" w:color="auto" w:fill="FBD4B4" w:themeFill="accent6" w:themeFillTint="66"/>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Band 1</w:t>
            </w:r>
          </w:p>
        </w:tc>
        <w:tc>
          <w:tcPr>
            <w:tcW w:w="1417" w:type="dxa"/>
            <w:shd w:val="clear" w:color="auto" w:fill="FBD4B4" w:themeFill="accent6" w:themeFillTint="66"/>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Band 2</w:t>
            </w:r>
          </w:p>
        </w:tc>
        <w:tc>
          <w:tcPr>
            <w:tcW w:w="1417" w:type="dxa"/>
            <w:shd w:val="clear" w:color="auto" w:fill="FBD4B4" w:themeFill="accent6" w:themeFillTint="66"/>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Band 3</w:t>
            </w:r>
          </w:p>
        </w:tc>
      </w:tr>
      <w:tr w:rsidR="005C1E41" w:rsidRPr="00B36AB8" w:rsidTr="005E12E0">
        <w:trPr>
          <w:jc w:val="center"/>
        </w:trPr>
        <w:tc>
          <w:tcPr>
            <w:tcW w:w="1417" w:type="dxa"/>
            <w:shd w:val="clear" w:color="auto" w:fill="FBD4B4" w:themeFill="accent6" w:themeFillTint="66"/>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2018/19</w:t>
            </w:r>
          </w:p>
        </w:tc>
        <w:tc>
          <w:tcPr>
            <w:tcW w:w="1417" w:type="dxa"/>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30%</w:t>
            </w:r>
          </w:p>
        </w:tc>
        <w:tc>
          <w:tcPr>
            <w:tcW w:w="1417" w:type="dxa"/>
          </w:tcPr>
          <w:p w:rsidR="005C1E41" w:rsidRPr="00637A6A" w:rsidRDefault="005C1E41" w:rsidP="005C1E41">
            <w:pPr>
              <w:jc w:val="center"/>
              <w:rPr>
                <w:color w:val="000000" w:themeColor="text1"/>
                <w:sz w:val="22"/>
              </w:rPr>
            </w:pPr>
            <w:r w:rsidRPr="00637A6A">
              <w:rPr>
                <w:rFonts w:eastAsia="Times New Roman" w:cs="Arial"/>
                <w:bCs/>
                <w:color w:val="000000" w:themeColor="text1"/>
                <w:sz w:val="22"/>
                <w:lang w:val="en" w:eastAsia="en-GB"/>
              </w:rPr>
              <w:t>70%</w:t>
            </w:r>
          </w:p>
        </w:tc>
        <w:tc>
          <w:tcPr>
            <w:tcW w:w="1417" w:type="dxa"/>
          </w:tcPr>
          <w:p w:rsidR="005C1E41" w:rsidRPr="00637A6A" w:rsidRDefault="005C1E41" w:rsidP="005C1E41">
            <w:pPr>
              <w:jc w:val="center"/>
              <w:rPr>
                <w:color w:val="000000" w:themeColor="text1"/>
                <w:sz w:val="22"/>
              </w:rPr>
            </w:pPr>
            <w:r w:rsidRPr="00637A6A">
              <w:rPr>
                <w:rFonts w:eastAsia="Times New Roman" w:cs="Arial"/>
                <w:bCs/>
                <w:color w:val="000000" w:themeColor="text1"/>
                <w:sz w:val="22"/>
                <w:lang w:val="en" w:eastAsia="en-GB"/>
              </w:rPr>
              <w:t>100%</w:t>
            </w:r>
          </w:p>
        </w:tc>
      </w:tr>
      <w:tr w:rsidR="005C1E41" w:rsidRPr="00B36AB8" w:rsidTr="005E12E0">
        <w:trPr>
          <w:jc w:val="center"/>
        </w:trPr>
        <w:tc>
          <w:tcPr>
            <w:tcW w:w="1417" w:type="dxa"/>
            <w:shd w:val="clear" w:color="auto" w:fill="FBD4B4" w:themeFill="accent6" w:themeFillTint="66"/>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2019/20</w:t>
            </w:r>
          </w:p>
        </w:tc>
        <w:tc>
          <w:tcPr>
            <w:tcW w:w="1417" w:type="dxa"/>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10%</w:t>
            </w:r>
          </w:p>
        </w:tc>
        <w:tc>
          <w:tcPr>
            <w:tcW w:w="1417" w:type="dxa"/>
          </w:tcPr>
          <w:p w:rsidR="005C1E41" w:rsidRPr="00637A6A" w:rsidRDefault="005C1E41" w:rsidP="005C1E41">
            <w:pPr>
              <w:jc w:val="center"/>
              <w:rPr>
                <w:color w:val="000000" w:themeColor="text1"/>
                <w:sz w:val="22"/>
              </w:rPr>
            </w:pPr>
            <w:r w:rsidRPr="00637A6A">
              <w:rPr>
                <w:rFonts w:eastAsia="Times New Roman" w:cs="Arial"/>
                <w:bCs/>
                <w:color w:val="000000" w:themeColor="text1"/>
                <w:sz w:val="22"/>
                <w:lang w:val="en" w:eastAsia="en-GB"/>
              </w:rPr>
              <w:t>50%</w:t>
            </w:r>
          </w:p>
        </w:tc>
        <w:tc>
          <w:tcPr>
            <w:tcW w:w="1417" w:type="dxa"/>
          </w:tcPr>
          <w:p w:rsidR="005C1E41" w:rsidRPr="00637A6A" w:rsidRDefault="005C1E41" w:rsidP="005C1E41">
            <w:pPr>
              <w:jc w:val="center"/>
              <w:rPr>
                <w:color w:val="000000" w:themeColor="text1"/>
                <w:sz w:val="22"/>
              </w:rPr>
            </w:pPr>
            <w:r w:rsidRPr="00637A6A">
              <w:rPr>
                <w:rFonts w:eastAsia="Times New Roman" w:cs="Arial"/>
                <w:bCs/>
                <w:color w:val="000000" w:themeColor="text1"/>
                <w:sz w:val="22"/>
                <w:lang w:val="en" w:eastAsia="en-GB"/>
              </w:rPr>
              <w:t>100%</w:t>
            </w:r>
          </w:p>
        </w:tc>
      </w:tr>
      <w:tr w:rsidR="005C1E41" w:rsidRPr="00B36AB8" w:rsidTr="005E12E0">
        <w:trPr>
          <w:jc w:val="center"/>
        </w:trPr>
        <w:tc>
          <w:tcPr>
            <w:tcW w:w="1417" w:type="dxa"/>
            <w:shd w:val="clear" w:color="auto" w:fill="FBD4B4" w:themeFill="accent6" w:themeFillTint="66"/>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2020/21</w:t>
            </w:r>
          </w:p>
        </w:tc>
        <w:tc>
          <w:tcPr>
            <w:tcW w:w="1417" w:type="dxa"/>
          </w:tcPr>
          <w:p w:rsidR="005C1E41" w:rsidRPr="00637A6A" w:rsidRDefault="005C1E41" w:rsidP="005C1E41">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10%</w:t>
            </w:r>
          </w:p>
        </w:tc>
        <w:tc>
          <w:tcPr>
            <w:tcW w:w="1417" w:type="dxa"/>
          </w:tcPr>
          <w:p w:rsidR="005C1E41" w:rsidRPr="00637A6A" w:rsidRDefault="005C1E41" w:rsidP="005C1E41">
            <w:pPr>
              <w:jc w:val="center"/>
              <w:rPr>
                <w:color w:val="000000" w:themeColor="text1"/>
                <w:sz w:val="22"/>
              </w:rPr>
            </w:pPr>
            <w:r w:rsidRPr="00637A6A">
              <w:rPr>
                <w:rFonts w:eastAsia="Times New Roman" w:cs="Arial"/>
                <w:bCs/>
                <w:color w:val="000000" w:themeColor="text1"/>
                <w:sz w:val="22"/>
                <w:lang w:val="en" w:eastAsia="en-GB"/>
              </w:rPr>
              <w:t>30%</w:t>
            </w:r>
          </w:p>
        </w:tc>
        <w:tc>
          <w:tcPr>
            <w:tcW w:w="1417" w:type="dxa"/>
          </w:tcPr>
          <w:p w:rsidR="005C1E41" w:rsidRPr="00637A6A" w:rsidRDefault="005C1E41" w:rsidP="005C1E41">
            <w:pPr>
              <w:jc w:val="center"/>
              <w:rPr>
                <w:color w:val="000000" w:themeColor="text1"/>
                <w:sz w:val="22"/>
              </w:rPr>
            </w:pPr>
            <w:r w:rsidRPr="00637A6A">
              <w:rPr>
                <w:rFonts w:eastAsia="Times New Roman" w:cs="Arial"/>
                <w:bCs/>
                <w:color w:val="000000" w:themeColor="text1"/>
                <w:sz w:val="22"/>
                <w:lang w:val="en" w:eastAsia="en-GB"/>
              </w:rPr>
              <w:t>100%</w:t>
            </w:r>
          </w:p>
        </w:tc>
      </w:tr>
    </w:tbl>
    <w:p w:rsidR="005C1E41" w:rsidRDefault="005C1E41" w:rsidP="00524B56">
      <w:pPr>
        <w:autoSpaceDE w:val="0"/>
        <w:autoSpaceDN w:val="0"/>
        <w:adjustRightInd w:val="0"/>
        <w:spacing w:after="0"/>
        <w:jc w:val="both"/>
        <w:rPr>
          <w:rFonts w:eastAsia="Times New Roman" w:cs="Arial"/>
          <w:bCs/>
          <w:color w:val="000000" w:themeColor="text1"/>
          <w:szCs w:val="24"/>
          <w:highlight w:val="yellow"/>
          <w:lang w:val="en" w:eastAsia="en-GB"/>
        </w:rPr>
      </w:pPr>
    </w:p>
    <w:p w:rsidR="00637A6A" w:rsidRDefault="00637A6A" w:rsidP="00637A6A">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 xml:space="preserve">Based on the </w:t>
      </w:r>
      <w:r w:rsidRPr="00933FF7">
        <w:rPr>
          <w:rFonts w:eastAsia="Times New Roman" w:cs="Arial"/>
          <w:bCs/>
          <w:color w:val="000000" w:themeColor="text1"/>
          <w:szCs w:val="24"/>
          <w:lang w:val="en" w:eastAsia="en-GB"/>
        </w:rPr>
        <w:t>Indicative needs/formula allocation (£) announced in December 2014</w:t>
      </w:r>
      <w:r>
        <w:rPr>
          <w:rFonts w:eastAsia="Times New Roman" w:cs="Arial"/>
          <w:bCs/>
          <w:color w:val="000000" w:themeColor="text1"/>
          <w:szCs w:val="24"/>
          <w:lang w:val="en" w:eastAsia="en-GB"/>
        </w:rPr>
        <w:t xml:space="preserve"> the table below shows the level of funding the County Council could expect to receive at each of the three funding bands over the period 2018/19 to 2020/21</w:t>
      </w:r>
    </w:p>
    <w:p w:rsidR="00637A6A" w:rsidRDefault="00637A6A" w:rsidP="00524B56">
      <w:pPr>
        <w:autoSpaceDE w:val="0"/>
        <w:autoSpaceDN w:val="0"/>
        <w:adjustRightInd w:val="0"/>
        <w:spacing w:after="0"/>
        <w:jc w:val="both"/>
        <w:rPr>
          <w:rFonts w:eastAsia="Times New Roman" w:cs="Arial"/>
          <w:bCs/>
          <w:color w:val="000000" w:themeColor="text1"/>
          <w:szCs w:val="24"/>
          <w:highlight w:val="yellow"/>
          <w:lang w:val="en" w:eastAsia="en-GB"/>
        </w:rPr>
      </w:pPr>
    </w:p>
    <w:tbl>
      <w:tblPr>
        <w:tblStyle w:val="TableGrid"/>
        <w:tblW w:w="0" w:type="auto"/>
        <w:jc w:val="center"/>
        <w:tblLook w:val="04A0" w:firstRow="1" w:lastRow="0" w:firstColumn="1" w:lastColumn="0" w:noHBand="0" w:noVBand="1"/>
      </w:tblPr>
      <w:tblGrid>
        <w:gridCol w:w="1417"/>
        <w:gridCol w:w="1417"/>
        <w:gridCol w:w="1417"/>
        <w:gridCol w:w="1417"/>
      </w:tblGrid>
      <w:tr w:rsidR="00637A6A" w:rsidRPr="00637A6A" w:rsidTr="00DD1209">
        <w:trPr>
          <w:jc w:val="center"/>
        </w:trPr>
        <w:tc>
          <w:tcPr>
            <w:tcW w:w="1417" w:type="dxa"/>
            <w:shd w:val="clear" w:color="auto" w:fill="FBD4B4" w:themeFill="accent6" w:themeFillTint="66"/>
          </w:tcPr>
          <w:p w:rsidR="00637A6A" w:rsidRPr="00637A6A" w:rsidRDefault="00637A6A" w:rsidP="00DD1209">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Year</w:t>
            </w:r>
          </w:p>
        </w:tc>
        <w:tc>
          <w:tcPr>
            <w:tcW w:w="1417" w:type="dxa"/>
            <w:shd w:val="clear" w:color="auto" w:fill="FBD4B4" w:themeFill="accent6" w:themeFillTint="66"/>
          </w:tcPr>
          <w:p w:rsidR="00637A6A" w:rsidRPr="00637A6A" w:rsidRDefault="00637A6A" w:rsidP="00F14A1B">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 xml:space="preserve">Band </w:t>
            </w:r>
            <w:r w:rsidR="00F14A1B">
              <w:rPr>
                <w:rFonts w:eastAsia="Times New Roman" w:cs="Arial"/>
                <w:bCs/>
                <w:color w:val="000000" w:themeColor="text1"/>
                <w:sz w:val="22"/>
                <w:lang w:val="en" w:eastAsia="en-GB"/>
              </w:rPr>
              <w:t>3</w:t>
            </w:r>
          </w:p>
        </w:tc>
        <w:tc>
          <w:tcPr>
            <w:tcW w:w="1417" w:type="dxa"/>
            <w:shd w:val="clear" w:color="auto" w:fill="FBD4B4" w:themeFill="accent6" w:themeFillTint="66"/>
          </w:tcPr>
          <w:p w:rsidR="00637A6A" w:rsidRPr="00637A6A" w:rsidRDefault="00637A6A" w:rsidP="00DD1209">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Band 2</w:t>
            </w:r>
          </w:p>
        </w:tc>
        <w:tc>
          <w:tcPr>
            <w:tcW w:w="1417" w:type="dxa"/>
            <w:shd w:val="clear" w:color="auto" w:fill="FBD4B4" w:themeFill="accent6" w:themeFillTint="66"/>
          </w:tcPr>
          <w:p w:rsidR="00637A6A" w:rsidRPr="00637A6A" w:rsidRDefault="00637A6A" w:rsidP="00F14A1B">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 xml:space="preserve">Band </w:t>
            </w:r>
            <w:r w:rsidR="00F14A1B">
              <w:rPr>
                <w:rFonts w:eastAsia="Times New Roman" w:cs="Arial"/>
                <w:bCs/>
                <w:color w:val="000000" w:themeColor="text1"/>
                <w:sz w:val="22"/>
                <w:lang w:val="en" w:eastAsia="en-GB"/>
              </w:rPr>
              <w:t>1</w:t>
            </w:r>
          </w:p>
        </w:tc>
      </w:tr>
      <w:tr w:rsidR="00637A6A" w:rsidRPr="00637A6A" w:rsidTr="00DD1209">
        <w:trPr>
          <w:jc w:val="center"/>
        </w:trPr>
        <w:tc>
          <w:tcPr>
            <w:tcW w:w="1417" w:type="dxa"/>
            <w:shd w:val="clear" w:color="auto" w:fill="FBD4B4" w:themeFill="accent6" w:themeFillTint="66"/>
          </w:tcPr>
          <w:p w:rsidR="00637A6A" w:rsidRPr="00637A6A" w:rsidRDefault="00637A6A" w:rsidP="00DD1209">
            <w:pPr>
              <w:autoSpaceDE w:val="0"/>
              <w:autoSpaceDN w:val="0"/>
              <w:adjustRightInd w:val="0"/>
              <w:jc w:val="center"/>
              <w:rPr>
                <w:rFonts w:eastAsia="Times New Roman" w:cs="Arial"/>
                <w:bCs/>
                <w:color w:val="000000" w:themeColor="text1"/>
                <w:sz w:val="22"/>
                <w:lang w:val="en" w:eastAsia="en-GB"/>
              </w:rPr>
            </w:pPr>
            <w:r>
              <w:rPr>
                <w:rFonts w:eastAsia="Times New Roman" w:cs="Arial"/>
                <w:bCs/>
                <w:color w:val="000000" w:themeColor="text1"/>
                <w:sz w:val="22"/>
                <w:lang w:val="en" w:eastAsia="en-GB"/>
              </w:rPr>
              <w:t>2018/19</w:t>
            </w:r>
          </w:p>
        </w:tc>
        <w:tc>
          <w:tcPr>
            <w:tcW w:w="1417" w:type="dxa"/>
          </w:tcPr>
          <w:p w:rsidR="00637A6A" w:rsidRPr="00637A6A" w:rsidRDefault="00637A6A" w:rsidP="00637A6A">
            <w:pPr>
              <w:autoSpaceDE w:val="0"/>
              <w:autoSpaceDN w:val="0"/>
              <w:adjustRightInd w:val="0"/>
              <w:jc w:val="center"/>
              <w:rPr>
                <w:rFonts w:eastAsia="Times New Roman" w:cs="Arial"/>
                <w:bCs/>
                <w:color w:val="000000" w:themeColor="text1"/>
                <w:sz w:val="22"/>
                <w:lang w:val="en" w:eastAsia="en-GB"/>
              </w:rPr>
            </w:pPr>
            <w:r>
              <w:rPr>
                <w:rFonts w:eastAsia="Times New Roman" w:cs="Arial"/>
                <w:bCs/>
                <w:color w:val="000000" w:themeColor="text1"/>
                <w:sz w:val="22"/>
                <w:lang w:val="en" w:eastAsia="en-GB"/>
              </w:rPr>
              <w:t>3,867,000</w:t>
            </w:r>
          </w:p>
        </w:tc>
        <w:tc>
          <w:tcPr>
            <w:tcW w:w="1417" w:type="dxa"/>
          </w:tcPr>
          <w:p w:rsidR="00637A6A" w:rsidRPr="00637A6A" w:rsidRDefault="00637A6A" w:rsidP="00DD1209">
            <w:pPr>
              <w:jc w:val="center"/>
              <w:rPr>
                <w:color w:val="000000" w:themeColor="text1"/>
                <w:sz w:val="22"/>
              </w:rPr>
            </w:pPr>
            <w:r>
              <w:rPr>
                <w:color w:val="000000" w:themeColor="text1"/>
                <w:sz w:val="22"/>
              </w:rPr>
              <w:t>2,707,000</w:t>
            </w:r>
          </w:p>
        </w:tc>
        <w:tc>
          <w:tcPr>
            <w:tcW w:w="1417" w:type="dxa"/>
          </w:tcPr>
          <w:p w:rsidR="00637A6A" w:rsidRPr="00637A6A" w:rsidRDefault="00637A6A" w:rsidP="00DD1209">
            <w:pPr>
              <w:jc w:val="center"/>
              <w:rPr>
                <w:color w:val="000000" w:themeColor="text1"/>
                <w:sz w:val="22"/>
              </w:rPr>
            </w:pPr>
            <w:r>
              <w:rPr>
                <w:color w:val="000000" w:themeColor="text1"/>
                <w:sz w:val="22"/>
              </w:rPr>
              <w:t>1,160,000</w:t>
            </w:r>
          </w:p>
        </w:tc>
      </w:tr>
      <w:tr w:rsidR="00637A6A" w:rsidRPr="00637A6A" w:rsidTr="00DD1209">
        <w:trPr>
          <w:jc w:val="center"/>
        </w:trPr>
        <w:tc>
          <w:tcPr>
            <w:tcW w:w="1417" w:type="dxa"/>
            <w:shd w:val="clear" w:color="auto" w:fill="FBD4B4" w:themeFill="accent6" w:themeFillTint="66"/>
          </w:tcPr>
          <w:p w:rsidR="00637A6A" w:rsidRPr="00637A6A" w:rsidRDefault="00637A6A" w:rsidP="00637A6A">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2019/20</w:t>
            </w:r>
          </w:p>
        </w:tc>
        <w:tc>
          <w:tcPr>
            <w:tcW w:w="1417" w:type="dxa"/>
          </w:tcPr>
          <w:p w:rsidR="00637A6A" w:rsidRDefault="00637A6A" w:rsidP="00637A6A">
            <w:pPr>
              <w:jc w:val="center"/>
            </w:pPr>
            <w:r w:rsidRPr="00AF2165">
              <w:rPr>
                <w:rFonts w:eastAsia="Times New Roman" w:cs="Arial"/>
                <w:bCs/>
                <w:color w:val="000000" w:themeColor="text1"/>
                <w:sz w:val="22"/>
                <w:lang w:val="en" w:eastAsia="en-GB"/>
              </w:rPr>
              <w:t>3,867,000</w:t>
            </w:r>
          </w:p>
        </w:tc>
        <w:tc>
          <w:tcPr>
            <w:tcW w:w="1417" w:type="dxa"/>
          </w:tcPr>
          <w:p w:rsidR="00637A6A" w:rsidRPr="00637A6A" w:rsidRDefault="00637A6A" w:rsidP="00637A6A">
            <w:pPr>
              <w:jc w:val="center"/>
              <w:rPr>
                <w:color w:val="000000" w:themeColor="text1"/>
                <w:sz w:val="22"/>
              </w:rPr>
            </w:pPr>
            <w:r>
              <w:rPr>
                <w:color w:val="000000" w:themeColor="text1"/>
                <w:sz w:val="22"/>
              </w:rPr>
              <w:t>1,934,000</w:t>
            </w:r>
          </w:p>
        </w:tc>
        <w:tc>
          <w:tcPr>
            <w:tcW w:w="1417" w:type="dxa"/>
          </w:tcPr>
          <w:p w:rsidR="00637A6A" w:rsidRPr="00637A6A" w:rsidRDefault="00637A6A" w:rsidP="00637A6A">
            <w:pPr>
              <w:jc w:val="center"/>
              <w:rPr>
                <w:color w:val="000000" w:themeColor="text1"/>
                <w:sz w:val="22"/>
              </w:rPr>
            </w:pPr>
            <w:r>
              <w:rPr>
                <w:color w:val="000000" w:themeColor="text1"/>
                <w:sz w:val="22"/>
              </w:rPr>
              <w:t>387,000</w:t>
            </w:r>
          </w:p>
        </w:tc>
      </w:tr>
      <w:tr w:rsidR="00637A6A" w:rsidRPr="00637A6A" w:rsidTr="00DD1209">
        <w:trPr>
          <w:jc w:val="center"/>
        </w:trPr>
        <w:tc>
          <w:tcPr>
            <w:tcW w:w="1417" w:type="dxa"/>
            <w:shd w:val="clear" w:color="auto" w:fill="FBD4B4" w:themeFill="accent6" w:themeFillTint="66"/>
          </w:tcPr>
          <w:p w:rsidR="00637A6A" w:rsidRPr="00637A6A" w:rsidRDefault="00637A6A" w:rsidP="00637A6A">
            <w:pPr>
              <w:autoSpaceDE w:val="0"/>
              <w:autoSpaceDN w:val="0"/>
              <w:adjustRightInd w:val="0"/>
              <w:jc w:val="center"/>
              <w:rPr>
                <w:rFonts w:eastAsia="Times New Roman" w:cs="Arial"/>
                <w:bCs/>
                <w:color w:val="000000" w:themeColor="text1"/>
                <w:sz w:val="22"/>
                <w:lang w:val="en" w:eastAsia="en-GB"/>
              </w:rPr>
            </w:pPr>
            <w:r w:rsidRPr="00637A6A">
              <w:rPr>
                <w:rFonts w:eastAsia="Times New Roman" w:cs="Arial"/>
                <w:bCs/>
                <w:color w:val="000000" w:themeColor="text1"/>
                <w:sz w:val="22"/>
                <w:lang w:val="en" w:eastAsia="en-GB"/>
              </w:rPr>
              <w:t>2020/21</w:t>
            </w:r>
          </w:p>
        </w:tc>
        <w:tc>
          <w:tcPr>
            <w:tcW w:w="1417" w:type="dxa"/>
          </w:tcPr>
          <w:p w:rsidR="00637A6A" w:rsidRDefault="00637A6A" w:rsidP="00637A6A">
            <w:pPr>
              <w:jc w:val="center"/>
            </w:pPr>
            <w:r w:rsidRPr="00AF2165">
              <w:rPr>
                <w:rFonts w:eastAsia="Times New Roman" w:cs="Arial"/>
                <w:bCs/>
                <w:color w:val="000000" w:themeColor="text1"/>
                <w:sz w:val="22"/>
                <w:lang w:val="en" w:eastAsia="en-GB"/>
              </w:rPr>
              <w:t>3,867,000</w:t>
            </w:r>
          </w:p>
        </w:tc>
        <w:tc>
          <w:tcPr>
            <w:tcW w:w="1417" w:type="dxa"/>
          </w:tcPr>
          <w:p w:rsidR="00637A6A" w:rsidRPr="00637A6A" w:rsidRDefault="00637A6A" w:rsidP="00637A6A">
            <w:pPr>
              <w:jc w:val="center"/>
              <w:rPr>
                <w:color w:val="000000" w:themeColor="text1"/>
                <w:sz w:val="22"/>
              </w:rPr>
            </w:pPr>
            <w:r>
              <w:rPr>
                <w:color w:val="000000" w:themeColor="text1"/>
                <w:sz w:val="22"/>
              </w:rPr>
              <w:t>1,161,000</w:t>
            </w:r>
          </w:p>
        </w:tc>
        <w:tc>
          <w:tcPr>
            <w:tcW w:w="1417" w:type="dxa"/>
          </w:tcPr>
          <w:p w:rsidR="00637A6A" w:rsidRPr="00637A6A" w:rsidRDefault="00637A6A" w:rsidP="00637A6A">
            <w:pPr>
              <w:jc w:val="center"/>
              <w:rPr>
                <w:color w:val="000000" w:themeColor="text1"/>
                <w:sz w:val="22"/>
              </w:rPr>
            </w:pPr>
            <w:r>
              <w:rPr>
                <w:color w:val="000000" w:themeColor="text1"/>
                <w:sz w:val="22"/>
              </w:rPr>
              <w:t>0</w:t>
            </w:r>
          </w:p>
        </w:tc>
      </w:tr>
    </w:tbl>
    <w:p w:rsidR="00637A6A" w:rsidRDefault="00637A6A" w:rsidP="00524B56">
      <w:pPr>
        <w:autoSpaceDE w:val="0"/>
        <w:autoSpaceDN w:val="0"/>
        <w:adjustRightInd w:val="0"/>
        <w:spacing w:after="0"/>
        <w:jc w:val="both"/>
        <w:rPr>
          <w:rFonts w:eastAsia="Times New Roman" w:cs="Arial"/>
          <w:bCs/>
          <w:color w:val="000000" w:themeColor="text1"/>
          <w:szCs w:val="24"/>
          <w:highlight w:val="yellow"/>
          <w:lang w:val="en" w:eastAsia="en-GB"/>
        </w:rPr>
      </w:pPr>
    </w:p>
    <w:p w:rsidR="00920288" w:rsidRDefault="002B7BB9" w:rsidP="002A259F">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Actual a</w:t>
      </w:r>
      <w:r w:rsidR="00637A6A">
        <w:rPr>
          <w:rFonts w:eastAsia="Times New Roman" w:cs="Arial"/>
          <w:bCs/>
          <w:color w:val="000000" w:themeColor="text1"/>
          <w:szCs w:val="24"/>
          <w:lang w:val="en" w:eastAsia="en-GB"/>
        </w:rPr>
        <w:t>llocations may be slightly higher than this a</w:t>
      </w:r>
      <w:r>
        <w:rPr>
          <w:rFonts w:eastAsia="Times New Roman" w:cs="Arial"/>
          <w:bCs/>
          <w:color w:val="000000" w:themeColor="text1"/>
          <w:szCs w:val="24"/>
          <w:lang w:val="en" w:eastAsia="en-GB"/>
        </w:rPr>
        <w:t>s</w:t>
      </w:r>
      <w:r w:rsidR="00637A6A">
        <w:rPr>
          <w:rFonts w:eastAsia="Times New Roman" w:cs="Arial"/>
          <w:bCs/>
          <w:color w:val="000000" w:themeColor="text1"/>
          <w:szCs w:val="24"/>
          <w:lang w:val="en" w:eastAsia="en-GB"/>
        </w:rPr>
        <w:t xml:space="preserve"> the DfT </w:t>
      </w:r>
      <w:r>
        <w:rPr>
          <w:rFonts w:eastAsia="Times New Roman" w:cs="Arial"/>
          <w:bCs/>
          <w:color w:val="000000" w:themeColor="text1"/>
          <w:szCs w:val="24"/>
          <w:lang w:val="en" w:eastAsia="en-GB"/>
        </w:rPr>
        <w:t xml:space="preserve">will reallocate any surplus monies to all authorities in accordance with </w:t>
      </w:r>
      <w:r w:rsidR="002A259F">
        <w:rPr>
          <w:rFonts w:eastAsia="Times New Roman" w:cs="Arial"/>
          <w:bCs/>
          <w:color w:val="000000" w:themeColor="text1"/>
          <w:szCs w:val="24"/>
          <w:lang w:val="en" w:eastAsia="en-GB"/>
        </w:rPr>
        <w:t>the needs-based proportions.</w:t>
      </w:r>
    </w:p>
    <w:p w:rsidR="002A259F" w:rsidRPr="002B7BB9" w:rsidRDefault="002A259F" w:rsidP="002A259F">
      <w:pPr>
        <w:autoSpaceDE w:val="0"/>
        <w:autoSpaceDN w:val="0"/>
        <w:adjustRightInd w:val="0"/>
        <w:spacing w:after="0"/>
        <w:jc w:val="both"/>
        <w:rPr>
          <w:rFonts w:eastAsia="Times New Roman" w:cs="Arial"/>
          <w:bCs/>
          <w:color w:val="000000" w:themeColor="text1"/>
          <w:szCs w:val="24"/>
          <w:lang w:val="en" w:eastAsia="en-GB"/>
        </w:rPr>
      </w:pPr>
    </w:p>
    <w:p w:rsidR="006C64D8" w:rsidRDefault="00AB2033" w:rsidP="00AB2033">
      <w:pPr>
        <w:autoSpaceDE w:val="0"/>
        <w:autoSpaceDN w:val="0"/>
        <w:adjustRightInd w:val="0"/>
        <w:spacing w:after="0"/>
        <w:jc w:val="both"/>
        <w:rPr>
          <w:rFonts w:eastAsia="Times New Roman" w:cs="Arial"/>
          <w:bCs/>
          <w:color w:val="000000" w:themeColor="text1"/>
          <w:szCs w:val="24"/>
          <w:lang w:val="en" w:eastAsia="en-GB"/>
        </w:rPr>
      </w:pPr>
      <w:r w:rsidRPr="002B7BB9">
        <w:rPr>
          <w:rFonts w:eastAsia="Times New Roman" w:cs="Arial"/>
          <w:bCs/>
          <w:color w:val="000000" w:themeColor="text1"/>
          <w:szCs w:val="24"/>
          <w:lang w:val="en" w:eastAsia="en-GB"/>
        </w:rPr>
        <w:t xml:space="preserve">Given the reductions in highway funding over the past few years </w:t>
      </w:r>
      <w:r w:rsidR="000343AA" w:rsidRPr="002B7BB9">
        <w:rPr>
          <w:rFonts w:eastAsia="Times New Roman" w:cs="Arial"/>
          <w:bCs/>
          <w:color w:val="000000" w:themeColor="text1"/>
          <w:szCs w:val="24"/>
          <w:lang w:val="en" w:eastAsia="en-GB"/>
        </w:rPr>
        <w:t xml:space="preserve">and the </w:t>
      </w:r>
      <w:r w:rsidR="00BB2144" w:rsidRPr="002B7BB9">
        <w:rPr>
          <w:rFonts w:eastAsia="Times New Roman" w:cs="Arial"/>
          <w:bCs/>
          <w:color w:val="000000" w:themeColor="text1"/>
          <w:szCs w:val="24"/>
          <w:lang w:val="en" w:eastAsia="en-GB"/>
        </w:rPr>
        <w:t>future fi</w:t>
      </w:r>
      <w:r w:rsidR="008A28EE" w:rsidRPr="002B7BB9">
        <w:rPr>
          <w:rFonts w:eastAsia="Times New Roman" w:cs="Arial"/>
          <w:bCs/>
          <w:color w:val="000000" w:themeColor="text1"/>
          <w:szCs w:val="24"/>
          <w:lang w:val="en" w:eastAsia="en-GB"/>
        </w:rPr>
        <w:t>nancial challenges the C</w:t>
      </w:r>
      <w:r w:rsidR="000343AA" w:rsidRPr="002B7BB9">
        <w:rPr>
          <w:rFonts w:eastAsia="Times New Roman" w:cs="Arial"/>
          <w:bCs/>
          <w:color w:val="000000" w:themeColor="text1"/>
          <w:szCs w:val="24"/>
          <w:lang w:val="en" w:eastAsia="en-GB"/>
        </w:rPr>
        <w:t>ou</w:t>
      </w:r>
      <w:r w:rsidR="008A28EE" w:rsidRPr="002B7BB9">
        <w:rPr>
          <w:rFonts w:eastAsia="Times New Roman" w:cs="Arial"/>
          <w:bCs/>
          <w:color w:val="000000" w:themeColor="text1"/>
          <w:szCs w:val="24"/>
          <w:lang w:val="en" w:eastAsia="en-GB"/>
        </w:rPr>
        <w:t>nty C</w:t>
      </w:r>
      <w:r w:rsidR="000343AA" w:rsidRPr="002B7BB9">
        <w:rPr>
          <w:rFonts w:eastAsia="Times New Roman" w:cs="Arial"/>
          <w:bCs/>
          <w:color w:val="000000" w:themeColor="text1"/>
          <w:szCs w:val="24"/>
          <w:lang w:val="en" w:eastAsia="en-GB"/>
        </w:rPr>
        <w:t xml:space="preserve">ouncil is facing </w:t>
      </w:r>
      <w:r w:rsidR="00BB2144" w:rsidRPr="002B7BB9">
        <w:rPr>
          <w:rFonts w:eastAsia="Times New Roman" w:cs="Arial"/>
          <w:bCs/>
          <w:color w:val="000000" w:themeColor="text1"/>
          <w:szCs w:val="24"/>
          <w:lang w:val="en" w:eastAsia="en-GB"/>
        </w:rPr>
        <w:t xml:space="preserve">it is </w:t>
      </w:r>
      <w:r w:rsidRPr="002B7BB9">
        <w:rPr>
          <w:rFonts w:eastAsia="Times New Roman" w:cs="Arial"/>
          <w:bCs/>
          <w:color w:val="000000" w:themeColor="text1"/>
          <w:szCs w:val="24"/>
          <w:lang w:val="en" w:eastAsia="en-GB"/>
        </w:rPr>
        <w:t xml:space="preserve">imperative that </w:t>
      </w:r>
      <w:r w:rsidR="00082F0E" w:rsidRPr="002B7BB9">
        <w:rPr>
          <w:rFonts w:eastAsia="Times New Roman" w:cs="Arial"/>
          <w:bCs/>
          <w:color w:val="000000" w:themeColor="text1"/>
          <w:szCs w:val="24"/>
          <w:lang w:val="en" w:eastAsia="en-GB"/>
        </w:rPr>
        <w:t xml:space="preserve">we retain our </w:t>
      </w:r>
      <w:r w:rsidRPr="002B7BB9">
        <w:rPr>
          <w:rFonts w:eastAsia="Times New Roman" w:cs="Arial"/>
          <w:bCs/>
          <w:color w:val="000000" w:themeColor="text1"/>
          <w:szCs w:val="24"/>
          <w:lang w:val="en" w:eastAsia="en-GB"/>
        </w:rPr>
        <w:t xml:space="preserve">'Band 3' </w:t>
      </w:r>
      <w:r w:rsidR="00082F0E" w:rsidRPr="002B7BB9">
        <w:rPr>
          <w:rFonts w:eastAsia="Times New Roman" w:cs="Arial"/>
          <w:bCs/>
          <w:color w:val="000000" w:themeColor="text1"/>
          <w:szCs w:val="24"/>
          <w:lang w:val="en" w:eastAsia="en-GB"/>
        </w:rPr>
        <w:t>status for the foreseeable future.</w:t>
      </w:r>
    </w:p>
    <w:p w:rsidR="006C64D8" w:rsidRDefault="006C64D8" w:rsidP="00AB2033">
      <w:pPr>
        <w:autoSpaceDE w:val="0"/>
        <w:autoSpaceDN w:val="0"/>
        <w:adjustRightInd w:val="0"/>
        <w:spacing w:after="0"/>
        <w:jc w:val="both"/>
        <w:rPr>
          <w:rFonts w:eastAsia="Times New Roman" w:cs="Arial"/>
          <w:bCs/>
          <w:color w:val="000000" w:themeColor="text1"/>
          <w:szCs w:val="24"/>
          <w:lang w:val="en" w:eastAsia="en-GB"/>
        </w:rPr>
      </w:pPr>
    </w:p>
    <w:p w:rsidR="00AB2033" w:rsidRPr="002B7BB9" w:rsidRDefault="00AB2033" w:rsidP="0006794A">
      <w:pPr>
        <w:autoSpaceDE w:val="0"/>
        <w:autoSpaceDN w:val="0"/>
        <w:adjustRightInd w:val="0"/>
        <w:spacing w:after="0"/>
        <w:jc w:val="both"/>
        <w:rPr>
          <w:rFonts w:eastAsia="Times New Roman" w:cs="Arial"/>
          <w:bCs/>
          <w:color w:val="000000" w:themeColor="text1"/>
          <w:szCs w:val="24"/>
          <w:lang w:val="en" w:eastAsia="en-GB"/>
        </w:rPr>
      </w:pPr>
      <w:r w:rsidRPr="00F14A1B">
        <w:rPr>
          <w:rFonts w:eastAsia="Times New Roman" w:cs="Arial"/>
          <w:bCs/>
          <w:color w:val="000000" w:themeColor="text1"/>
          <w:szCs w:val="24"/>
          <w:lang w:val="en" w:eastAsia="en-GB"/>
        </w:rPr>
        <w:t>From DfT guidance it is vital that local authorities have the support of members, senior officers and a good quality TAMP in place that is refreshed and updated on a regular basis.</w:t>
      </w:r>
    </w:p>
    <w:p w:rsidR="006B423B" w:rsidRDefault="006B423B" w:rsidP="0006794A">
      <w:pPr>
        <w:spacing w:after="0"/>
        <w:rPr>
          <w:rFonts w:eastAsia="Times New Roman" w:cs="Arial"/>
          <w:bCs/>
          <w:color w:val="000000" w:themeColor="text1"/>
          <w:szCs w:val="24"/>
          <w:lang w:val="en" w:eastAsia="en-GB"/>
        </w:rPr>
      </w:pPr>
    </w:p>
    <w:p w:rsidR="00AB2033" w:rsidRDefault="00AB2033" w:rsidP="0006794A">
      <w:pPr>
        <w:spacing w:after="0"/>
        <w:rPr>
          <w:rFonts w:eastAsia="Times New Roman" w:cs="Arial"/>
          <w:bCs/>
          <w:color w:val="000000" w:themeColor="text1"/>
          <w:szCs w:val="24"/>
          <w:lang w:val="en" w:eastAsia="en-GB"/>
        </w:rPr>
      </w:pPr>
      <w:r w:rsidRPr="006C64D8">
        <w:rPr>
          <w:rFonts w:eastAsia="Times New Roman" w:cs="Arial"/>
          <w:bCs/>
          <w:color w:val="000000" w:themeColor="text1"/>
          <w:szCs w:val="24"/>
          <w:lang w:val="en" w:eastAsia="en-GB"/>
        </w:rPr>
        <w:t>A summary of s</w:t>
      </w:r>
      <w:r w:rsidR="00A86732" w:rsidRPr="006C64D8">
        <w:rPr>
          <w:rFonts w:eastAsia="Times New Roman" w:cs="Arial"/>
          <w:bCs/>
          <w:color w:val="000000" w:themeColor="text1"/>
          <w:szCs w:val="24"/>
          <w:lang w:val="en" w:eastAsia="en-GB"/>
        </w:rPr>
        <w:t>elf-assessment questions</w:t>
      </w:r>
      <w:r w:rsidRPr="006C64D8">
        <w:rPr>
          <w:rFonts w:eastAsia="Times New Roman" w:cs="Arial"/>
          <w:bCs/>
          <w:color w:val="000000" w:themeColor="text1"/>
          <w:szCs w:val="24"/>
          <w:lang w:val="en" w:eastAsia="en-GB"/>
        </w:rPr>
        <w:t xml:space="preserve">, areas covered and our </w:t>
      </w:r>
      <w:r w:rsidR="00082F0E" w:rsidRPr="006C64D8">
        <w:rPr>
          <w:rFonts w:eastAsia="Times New Roman" w:cs="Arial"/>
          <w:bCs/>
          <w:color w:val="000000" w:themeColor="text1"/>
          <w:szCs w:val="24"/>
          <w:lang w:val="en" w:eastAsia="en-GB"/>
        </w:rPr>
        <w:t xml:space="preserve">January </w:t>
      </w:r>
      <w:r w:rsidR="00590359" w:rsidRPr="006C64D8">
        <w:rPr>
          <w:rFonts w:eastAsia="Times New Roman" w:cs="Arial"/>
          <w:bCs/>
          <w:color w:val="000000" w:themeColor="text1"/>
          <w:szCs w:val="24"/>
          <w:lang w:val="en" w:eastAsia="en-GB"/>
        </w:rPr>
        <w:t>2016</w:t>
      </w:r>
      <w:r w:rsidR="005D2668">
        <w:rPr>
          <w:rFonts w:eastAsia="Times New Roman" w:cs="Arial"/>
          <w:bCs/>
          <w:color w:val="000000" w:themeColor="text1"/>
          <w:szCs w:val="24"/>
          <w:lang w:val="en" w:eastAsia="en-GB"/>
        </w:rPr>
        <w:t xml:space="preserve">, 2017 </w:t>
      </w:r>
      <w:r w:rsidR="00590359" w:rsidRPr="006C64D8">
        <w:rPr>
          <w:rFonts w:eastAsia="Times New Roman" w:cs="Arial"/>
          <w:bCs/>
          <w:color w:val="000000" w:themeColor="text1"/>
          <w:szCs w:val="24"/>
          <w:lang w:val="en" w:eastAsia="en-GB"/>
        </w:rPr>
        <w:t xml:space="preserve">and </w:t>
      </w:r>
      <w:r w:rsidR="00082F0E" w:rsidRPr="006C64D8">
        <w:rPr>
          <w:rFonts w:eastAsia="Times New Roman" w:cs="Arial"/>
          <w:bCs/>
          <w:color w:val="000000" w:themeColor="text1"/>
          <w:szCs w:val="24"/>
          <w:lang w:val="en" w:eastAsia="en-GB"/>
        </w:rPr>
        <w:t>201</w:t>
      </w:r>
      <w:r w:rsidR="005D2668">
        <w:rPr>
          <w:rFonts w:eastAsia="Times New Roman" w:cs="Arial"/>
          <w:bCs/>
          <w:color w:val="000000" w:themeColor="text1"/>
          <w:szCs w:val="24"/>
          <w:lang w:val="en" w:eastAsia="en-GB"/>
        </w:rPr>
        <w:t>8</w:t>
      </w:r>
      <w:r w:rsidR="00082F0E" w:rsidRPr="006C64D8">
        <w:rPr>
          <w:rFonts w:eastAsia="Times New Roman" w:cs="Arial"/>
          <w:bCs/>
          <w:color w:val="000000" w:themeColor="text1"/>
          <w:szCs w:val="24"/>
          <w:lang w:val="en" w:eastAsia="en-GB"/>
        </w:rPr>
        <w:t xml:space="preserve"> </w:t>
      </w:r>
      <w:r w:rsidRPr="006C64D8">
        <w:rPr>
          <w:rFonts w:eastAsia="Times New Roman" w:cs="Arial"/>
          <w:bCs/>
          <w:color w:val="000000" w:themeColor="text1"/>
          <w:szCs w:val="24"/>
          <w:lang w:val="en" w:eastAsia="en-GB"/>
        </w:rPr>
        <w:t>scores are shown below:-</w:t>
      </w:r>
    </w:p>
    <w:p w:rsidR="006B423B" w:rsidRDefault="006B423B" w:rsidP="0006794A">
      <w:pPr>
        <w:spacing w:after="0"/>
        <w:rPr>
          <w:rFonts w:eastAsia="Times New Roman" w:cs="Arial"/>
          <w:bCs/>
          <w:color w:val="000000" w:themeColor="text1"/>
          <w:szCs w:val="24"/>
          <w:lang w:val="en" w:eastAsia="en-GB"/>
        </w:rPr>
      </w:pPr>
    </w:p>
    <w:p w:rsidR="0006794A" w:rsidRDefault="0006794A" w:rsidP="0006794A">
      <w:pPr>
        <w:spacing w:after="0"/>
        <w:rPr>
          <w:rFonts w:eastAsia="Times New Roman" w:cs="Arial"/>
          <w:bCs/>
          <w:color w:val="000000" w:themeColor="text1"/>
          <w:szCs w:val="24"/>
          <w:lang w:val="en" w:eastAsia="en-GB"/>
        </w:rPr>
      </w:pPr>
    </w:p>
    <w:p w:rsidR="0006794A" w:rsidRDefault="0006794A" w:rsidP="0006794A">
      <w:pPr>
        <w:spacing w:after="0"/>
        <w:rPr>
          <w:rFonts w:eastAsia="Times New Roman" w:cs="Arial"/>
          <w:bCs/>
          <w:color w:val="000000" w:themeColor="text1"/>
          <w:szCs w:val="24"/>
          <w:lang w:val="en" w:eastAsia="en-GB"/>
        </w:rPr>
      </w:pPr>
    </w:p>
    <w:p w:rsidR="006B423B" w:rsidRDefault="006B423B" w:rsidP="0006794A">
      <w:pPr>
        <w:spacing w:after="0"/>
        <w:rPr>
          <w:rFonts w:eastAsia="Times New Roman" w:cs="Arial"/>
          <w:bCs/>
          <w:color w:val="000000" w:themeColor="text1"/>
          <w:szCs w:val="24"/>
          <w:lang w:val="en" w:eastAsia="en-GB"/>
        </w:rPr>
      </w:pPr>
    </w:p>
    <w:tbl>
      <w:tblPr>
        <w:tblW w:w="6921" w:type="dxa"/>
        <w:tblLook w:val="04A0" w:firstRow="1" w:lastRow="0" w:firstColumn="1" w:lastColumn="0" w:noHBand="0" w:noVBand="1"/>
      </w:tblPr>
      <w:tblGrid>
        <w:gridCol w:w="598"/>
        <w:gridCol w:w="4075"/>
        <w:gridCol w:w="835"/>
        <w:gridCol w:w="707"/>
        <w:gridCol w:w="706"/>
      </w:tblGrid>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407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B36AB8" w:rsidRPr="006C64D8" w:rsidRDefault="00B36AB8" w:rsidP="00590359">
            <w:pPr>
              <w:spacing w:after="0" w:line="240" w:lineRule="auto"/>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Area Assessed</w:t>
            </w:r>
          </w:p>
        </w:tc>
        <w:tc>
          <w:tcPr>
            <w:tcW w:w="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2016</w:t>
            </w:r>
          </w:p>
        </w:tc>
        <w:tc>
          <w:tcPr>
            <w:tcW w:w="70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B36AB8" w:rsidRPr="006C64D8" w:rsidRDefault="00B36AB8" w:rsidP="00590359">
            <w:pPr>
              <w:spacing w:after="0" w:line="240" w:lineRule="auto"/>
              <w:jc w:val="center"/>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2017</w:t>
            </w:r>
          </w:p>
        </w:tc>
        <w:tc>
          <w:tcPr>
            <w:tcW w:w="70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36AB8" w:rsidRPr="006C64D8" w:rsidRDefault="00B36AB8" w:rsidP="00590359">
            <w:pPr>
              <w:spacing w:after="0" w:line="240" w:lineRule="auto"/>
              <w:jc w:val="center"/>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2018</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1</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bCs/>
                <w:color w:val="000000" w:themeColor="text1"/>
                <w:sz w:val="22"/>
                <w:lang w:eastAsia="en-GB"/>
              </w:rPr>
            </w:pPr>
            <w:r w:rsidRPr="006C64D8">
              <w:rPr>
                <w:rFonts w:eastAsia="Times New Roman" w:cs="Arial"/>
                <w:bCs/>
                <w:color w:val="000000" w:themeColor="text1"/>
                <w:sz w:val="22"/>
                <w:lang w:eastAsia="en-GB"/>
              </w:rPr>
              <w:t>Asset Management Policy and Strategy</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2</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bCs/>
                <w:color w:val="000000" w:themeColor="text1"/>
                <w:sz w:val="22"/>
                <w:lang w:eastAsia="en-GB"/>
              </w:rPr>
            </w:pPr>
            <w:r w:rsidRPr="006C64D8">
              <w:rPr>
                <w:rFonts w:eastAsia="Times New Roman" w:cs="Arial"/>
                <w:bCs/>
                <w:color w:val="000000" w:themeColor="text1"/>
                <w:sz w:val="22"/>
                <w:lang w:eastAsia="en-GB"/>
              </w:rPr>
              <w:t>Communications</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Performance Management Framework</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4</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Asset Data Management</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5</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bCs/>
                <w:color w:val="000000" w:themeColor="text1"/>
                <w:sz w:val="22"/>
                <w:lang w:eastAsia="en-GB"/>
              </w:rPr>
            </w:pPr>
            <w:r w:rsidRPr="006C64D8">
              <w:rPr>
                <w:rFonts w:eastAsia="Times New Roman" w:cs="Arial"/>
                <w:bCs/>
                <w:color w:val="000000" w:themeColor="text1"/>
                <w:sz w:val="22"/>
                <w:lang w:eastAsia="en-GB"/>
              </w:rPr>
              <w:t>Lifecycle Planning</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2</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bCs/>
                <w:color w:val="000000" w:themeColor="text1"/>
                <w:sz w:val="22"/>
                <w:lang w:eastAsia="en-GB"/>
              </w:rPr>
            </w:pPr>
            <w:r w:rsidRPr="006C64D8">
              <w:rPr>
                <w:rFonts w:eastAsia="Times New Roman" w:cs="Arial"/>
                <w:bCs/>
                <w:color w:val="000000" w:themeColor="text1"/>
                <w:sz w:val="22"/>
                <w:lang w:eastAsia="en-GB"/>
              </w:rPr>
              <w:t>2</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6</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 xml:space="preserve">Leadership and Commitment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7</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Competencies and Training</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8</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Risk Management</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407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Resilience</w:t>
            </w:r>
          </w:p>
        </w:tc>
        <w:tc>
          <w:tcPr>
            <w:tcW w:w="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70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70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36AB8" w:rsidRPr="006C64D8" w:rsidRDefault="00B36AB8" w:rsidP="00590359">
            <w:pPr>
              <w:spacing w:after="0" w:line="240" w:lineRule="auto"/>
              <w:jc w:val="center"/>
              <w:rPr>
                <w:rFonts w:eastAsia="Times New Roman" w:cs="Arial"/>
                <w:b/>
                <w:bCs/>
                <w:color w:val="000000" w:themeColor="text1"/>
                <w:sz w:val="22"/>
                <w:lang w:eastAsia="en-GB"/>
              </w:rPr>
            </w:pP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9</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Resilient Network</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10</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Implemented Potholes Review</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11</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Implemented the Drainage Guidance</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407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b/>
                <w:bCs/>
                <w:color w:val="000000" w:themeColor="text1"/>
                <w:sz w:val="22"/>
                <w:lang w:eastAsia="en-GB"/>
              </w:rPr>
              <w:t>Customer</w:t>
            </w:r>
          </w:p>
        </w:tc>
        <w:tc>
          <w:tcPr>
            <w:tcW w:w="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color w:val="000000" w:themeColor="text1"/>
                <w:sz w:val="22"/>
                <w:lang w:eastAsia="en-GB"/>
              </w:rPr>
            </w:pPr>
          </w:p>
        </w:tc>
        <w:tc>
          <w:tcPr>
            <w:tcW w:w="70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color w:val="000000" w:themeColor="text1"/>
                <w:sz w:val="22"/>
                <w:lang w:eastAsia="en-GB"/>
              </w:rPr>
            </w:pPr>
          </w:p>
        </w:tc>
        <w:tc>
          <w:tcPr>
            <w:tcW w:w="70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36AB8" w:rsidRPr="006C64D8" w:rsidRDefault="00B36AB8" w:rsidP="00590359">
            <w:pPr>
              <w:spacing w:after="0" w:line="240" w:lineRule="auto"/>
              <w:jc w:val="center"/>
              <w:rPr>
                <w:rFonts w:eastAsia="Times New Roman" w:cs="Arial"/>
                <w:color w:val="000000" w:themeColor="text1"/>
                <w:sz w:val="22"/>
                <w:lang w:eastAsia="en-GB"/>
              </w:rPr>
            </w:pP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12</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Satisfaction</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13</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Feedback</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14</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Information</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407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B36AB8" w:rsidRPr="006C64D8" w:rsidRDefault="00B36AB8" w:rsidP="00590359">
            <w:pPr>
              <w:spacing w:after="0" w:line="240" w:lineRule="auto"/>
              <w:rPr>
                <w:rFonts w:eastAsia="Times New Roman" w:cs="Arial"/>
                <w:b/>
                <w:color w:val="000000" w:themeColor="text1"/>
                <w:sz w:val="22"/>
                <w:lang w:eastAsia="en-GB"/>
              </w:rPr>
            </w:pPr>
            <w:r w:rsidRPr="006C64D8">
              <w:rPr>
                <w:rFonts w:eastAsia="Times New Roman" w:cs="Arial"/>
                <w:b/>
                <w:bCs/>
                <w:color w:val="000000" w:themeColor="text1"/>
                <w:sz w:val="22"/>
                <w:lang w:eastAsia="en-GB"/>
              </w:rPr>
              <w:t>Benchmarking and Efficiency</w:t>
            </w:r>
          </w:p>
        </w:tc>
        <w:tc>
          <w:tcPr>
            <w:tcW w:w="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color w:val="000000" w:themeColor="text1"/>
                <w:sz w:val="22"/>
                <w:lang w:eastAsia="en-GB"/>
              </w:rPr>
            </w:pPr>
          </w:p>
        </w:tc>
        <w:tc>
          <w:tcPr>
            <w:tcW w:w="70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color w:val="000000" w:themeColor="text1"/>
                <w:sz w:val="22"/>
                <w:lang w:eastAsia="en-GB"/>
              </w:rPr>
            </w:pPr>
          </w:p>
        </w:tc>
        <w:tc>
          <w:tcPr>
            <w:tcW w:w="70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36AB8" w:rsidRPr="006C64D8" w:rsidRDefault="00B36AB8" w:rsidP="00590359">
            <w:pPr>
              <w:spacing w:after="0" w:line="240" w:lineRule="auto"/>
              <w:jc w:val="center"/>
              <w:rPr>
                <w:rFonts w:eastAsia="Times New Roman" w:cs="Arial"/>
                <w:b/>
                <w:color w:val="000000" w:themeColor="text1"/>
                <w:sz w:val="22"/>
                <w:lang w:eastAsia="en-GB"/>
              </w:rPr>
            </w:pP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15</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Benchmarking</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16</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Efficiency Monitoring</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407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Operational Service Delivery</w:t>
            </w:r>
          </w:p>
        </w:tc>
        <w:tc>
          <w:tcPr>
            <w:tcW w:w="8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70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36AB8" w:rsidRPr="006C64D8" w:rsidRDefault="00B36AB8" w:rsidP="00590359">
            <w:pPr>
              <w:spacing w:after="0" w:line="240" w:lineRule="auto"/>
              <w:jc w:val="center"/>
              <w:rPr>
                <w:rFonts w:eastAsia="Times New Roman" w:cs="Arial"/>
                <w:b/>
                <w:bCs/>
                <w:color w:val="000000" w:themeColor="text1"/>
                <w:sz w:val="22"/>
                <w:lang w:eastAsia="en-GB"/>
              </w:rPr>
            </w:pPr>
          </w:p>
        </w:tc>
        <w:tc>
          <w:tcPr>
            <w:tcW w:w="70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36AB8" w:rsidRPr="006C64D8" w:rsidRDefault="00B36AB8" w:rsidP="00590359">
            <w:pPr>
              <w:spacing w:after="0" w:line="240" w:lineRule="auto"/>
              <w:jc w:val="center"/>
              <w:rPr>
                <w:rFonts w:eastAsia="Times New Roman" w:cs="Arial"/>
                <w:b/>
                <w:bCs/>
                <w:color w:val="000000" w:themeColor="text1"/>
                <w:sz w:val="22"/>
                <w:lang w:eastAsia="en-GB"/>
              </w:rPr>
            </w:pP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17</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Periodic Review of Operational Service Delivery</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18</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Supply Chain Collaboration</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19</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Lean Reviews</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20</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 xml:space="preserve">Works Programming </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21</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Collaborative Working</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r w:rsidR="00B36AB8" w:rsidRPr="00B36AB8" w:rsidTr="00FE2D95">
        <w:trPr>
          <w:trHeight w:val="22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22</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B8" w:rsidRPr="006C64D8" w:rsidRDefault="00B36AB8" w:rsidP="00590359">
            <w:pPr>
              <w:spacing w:after="0" w:line="240" w:lineRule="auto"/>
              <w:rPr>
                <w:rFonts w:eastAsia="Times New Roman" w:cs="Arial"/>
                <w:color w:val="000000" w:themeColor="text1"/>
                <w:sz w:val="22"/>
                <w:lang w:eastAsia="en-GB"/>
              </w:rPr>
            </w:pPr>
            <w:r w:rsidRPr="006C64D8">
              <w:rPr>
                <w:rFonts w:eastAsia="Times New Roman" w:cs="Arial"/>
                <w:color w:val="000000" w:themeColor="text1"/>
                <w:sz w:val="22"/>
                <w:lang w:eastAsia="en-GB"/>
              </w:rPr>
              <w:t>Procuring External Highway Maintenance Services</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B36AB8" w:rsidRPr="006C64D8" w:rsidRDefault="00B36AB8"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c>
          <w:tcPr>
            <w:tcW w:w="706" w:type="dxa"/>
            <w:tcBorders>
              <w:top w:val="single" w:sz="4" w:space="0" w:color="auto"/>
              <w:left w:val="single" w:sz="4" w:space="0" w:color="auto"/>
              <w:bottom w:val="single" w:sz="4" w:space="0" w:color="auto"/>
              <w:right w:val="single" w:sz="4" w:space="0" w:color="auto"/>
            </w:tcBorders>
          </w:tcPr>
          <w:p w:rsidR="00B36AB8" w:rsidRPr="006C64D8" w:rsidRDefault="001139F1" w:rsidP="00590359">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3</w:t>
            </w:r>
          </w:p>
        </w:tc>
      </w:tr>
    </w:tbl>
    <w:p w:rsidR="00AB2033" w:rsidRDefault="00AB2033">
      <w:pPr>
        <w:rPr>
          <w:color w:val="000000" w:themeColor="text1"/>
          <w:highlight w:val="yellow"/>
        </w:rPr>
      </w:pPr>
    </w:p>
    <w:p w:rsidR="001629EF" w:rsidRPr="006C64D8" w:rsidRDefault="002A259F" w:rsidP="005F433B">
      <w:pPr>
        <w:spacing w:after="0"/>
        <w:jc w:val="both"/>
        <w:rPr>
          <w:color w:val="000000" w:themeColor="text1"/>
        </w:rPr>
      </w:pPr>
      <w:r>
        <w:rPr>
          <w:color w:val="000000" w:themeColor="text1"/>
        </w:rPr>
        <w:t>If</w:t>
      </w:r>
      <w:r w:rsidR="001629EF" w:rsidRPr="006C64D8">
        <w:rPr>
          <w:color w:val="000000" w:themeColor="text1"/>
        </w:rPr>
        <w:t xml:space="preserve"> an authority scores 1 in questions 1, 2 </w:t>
      </w:r>
      <w:r>
        <w:rPr>
          <w:color w:val="000000" w:themeColor="text1"/>
        </w:rPr>
        <w:t>or</w:t>
      </w:r>
      <w:r w:rsidR="001629EF" w:rsidRPr="006C64D8">
        <w:rPr>
          <w:color w:val="000000" w:themeColor="text1"/>
        </w:rPr>
        <w:t xml:space="preserve"> 5, they will automatically be placed in Band 1 overall, regardless of their other scores</w:t>
      </w:r>
      <w:r w:rsidR="005F433B" w:rsidRPr="006C64D8">
        <w:rPr>
          <w:color w:val="000000" w:themeColor="text1"/>
        </w:rPr>
        <w:t xml:space="preserve">.  </w:t>
      </w:r>
      <w:r w:rsidR="00FD34F9" w:rsidRPr="006C64D8">
        <w:rPr>
          <w:color w:val="000000" w:themeColor="text1"/>
        </w:rPr>
        <w:t xml:space="preserve">A summary of </w:t>
      </w:r>
      <w:r w:rsidR="00384934" w:rsidRPr="006C64D8">
        <w:rPr>
          <w:color w:val="000000" w:themeColor="text1"/>
        </w:rPr>
        <w:t>LCC's</w:t>
      </w:r>
      <w:r w:rsidR="00FD34F9" w:rsidRPr="006C64D8">
        <w:rPr>
          <w:color w:val="000000" w:themeColor="text1"/>
        </w:rPr>
        <w:t xml:space="preserve"> 22 scores is provided below:-</w:t>
      </w:r>
    </w:p>
    <w:p w:rsidR="001629EF" w:rsidRPr="006C64D8" w:rsidRDefault="001629EF" w:rsidP="00FD34F9">
      <w:pPr>
        <w:spacing w:after="0"/>
        <w:rPr>
          <w:color w:val="000000" w:themeColor="text1"/>
        </w:rPr>
      </w:pPr>
    </w:p>
    <w:tbl>
      <w:tblPr>
        <w:tblW w:w="6921" w:type="dxa"/>
        <w:tblLook w:val="04A0" w:firstRow="1" w:lastRow="0" w:firstColumn="1" w:lastColumn="0" w:noHBand="0" w:noVBand="1"/>
      </w:tblPr>
      <w:tblGrid>
        <w:gridCol w:w="3964"/>
        <w:gridCol w:w="993"/>
        <w:gridCol w:w="992"/>
        <w:gridCol w:w="972"/>
      </w:tblGrid>
      <w:tr w:rsidR="00123170" w:rsidRPr="006C64D8" w:rsidTr="00123170">
        <w:trPr>
          <w:trHeight w:val="227"/>
        </w:trPr>
        <w:tc>
          <w:tcPr>
            <w:tcW w:w="396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23170" w:rsidRPr="006C64D8" w:rsidRDefault="00123170" w:rsidP="001C5990">
            <w:pPr>
              <w:spacing w:after="0" w:line="240" w:lineRule="auto"/>
              <w:rPr>
                <w:rFonts w:eastAsia="Times New Roman" w:cs="Arial"/>
                <w:bCs/>
                <w:color w:val="000000" w:themeColor="text1"/>
                <w:sz w:val="22"/>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123170" w:rsidRPr="006C64D8" w:rsidRDefault="00123170" w:rsidP="001C5990">
            <w:pPr>
              <w:spacing w:after="0" w:line="240" w:lineRule="auto"/>
              <w:jc w:val="center"/>
              <w:rPr>
                <w:rFonts w:eastAsia="Times New Roman" w:cs="Arial"/>
                <w:b/>
                <w:color w:val="000000" w:themeColor="text1"/>
                <w:sz w:val="22"/>
                <w:lang w:eastAsia="en-GB"/>
              </w:rPr>
            </w:pPr>
            <w:r w:rsidRPr="006C64D8">
              <w:rPr>
                <w:rFonts w:eastAsia="Times New Roman" w:cs="Arial"/>
                <w:b/>
                <w:color w:val="000000" w:themeColor="text1"/>
                <w:sz w:val="22"/>
                <w:lang w:eastAsia="en-GB"/>
              </w:rPr>
              <w:t>2016</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23170" w:rsidRPr="006C64D8" w:rsidRDefault="00123170" w:rsidP="001C5990">
            <w:pPr>
              <w:spacing w:after="0" w:line="240" w:lineRule="auto"/>
              <w:jc w:val="center"/>
              <w:rPr>
                <w:rFonts w:eastAsia="Times New Roman" w:cs="Arial"/>
                <w:b/>
                <w:color w:val="000000" w:themeColor="text1"/>
                <w:sz w:val="22"/>
                <w:lang w:eastAsia="en-GB"/>
              </w:rPr>
            </w:pPr>
            <w:r w:rsidRPr="006C64D8">
              <w:rPr>
                <w:rFonts w:eastAsia="Times New Roman" w:cs="Arial"/>
                <w:b/>
                <w:color w:val="000000" w:themeColor="text1"/>
                <w:sz w:val="22"/>
                <w:lang w:eastAsia="en-GB"/>
              </w:rPr>
              <w:t>2017</w:t>
            </w:r>
          </w:p>
        </w:tc>
        <w:tc>
          <w:tcPr>
            <w:tcW w:w="97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23170" w:rsidRPr="006C64D8" w:rsidRDefault="00123170" w:rsidP="001C5990">
            <w:pPr>
              <w:spacing w:after="0" w:line="240" w:lineRule="auto"/>
              <w:jc w:val="center"/>
              <w:rPr>
                <w:rFonts w:eastAsia="Times New Roman" w:cs="Arial"/>
                <w:b/>
                <w:color w:val="000000" w:themeColor="text1"/>
                <w:sz w:val="22"/>
                <w:lang w:eastAsia="en-GB"/>
              </w:rPr>
            </w:pPr>
            <w:r w:rsidRPr="006C64D8">
              <w:rPr>
                <w:rFonts w:eastAsia="Times New Roman" w:cs="Arial"/>
                <w:b/>
                <w:color w:val="000000" w:themeColor="text1"/>
                <w:sz w:val="22"/>
                <w:lang w:eastAsia="en-GB"/>
              </w:rPr>
              <w:t>2018</w:t>
            </w:r>
          </w:p>
        </w:tc>
      </w:tr>
      <w:tr w:rsidR="00123170" w:rsidRPr="006C64D8" w:rsidTr="00123170">
        <w:trPr>
          <w:trHeight w:val="22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170" w:rsidRPr="006C64D8" w:rsidRDefault="00123170" w:rsidP="001C5990">
            <w:pPr>
              <w:spacing w:after="0" w:line="240" w:lineRule="auto"/>
              <w:rPr>
                <w:rFonts w:eastAsia="Times New Roman" w:cs="Arial"/>
                <w:bCs/>
                <w:color w:val="000000" w:themeColor="text1"/>
                <w:sz w:val="22"/>
                <w:lang w:eastAsia="en-GB"/>
              </w:rPr>
            </w:pPr>
            <w:r w:rsidRPr="006C64D8">
              <w:rPr>
                <w:rFonts w:eastAsia="Times New Roman" w:cs="Arial"/>
                <w:bCs/>
                <w:color w:val="000000" w:themeColor="text1"/>
                <w:sz w:val="22"/>
                <w:lang w:eastAsia="en-GB"/>
              </w:rPr>
              <w:t>Level 1</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w:t>
            </w:r>
          </w:p>
        </w:tc>
        <w:tc>
          <w:tcPr>
            <w:tcW w:w="992" w:type="dxa"/>
            <w:tcBorders>
              <w:top w:val="single" w:sz="4" w:space="0" w:color="auto"/>
              <w:left w:val="single" w:sz="4" w:space="0" w:color="auto"/>
              <w:bottom w:val="single" w:sz="4" w:space="0" w:color="auto"/>
              <w:right w:val="single" w:sz="4" w:space="0" w:color="auto"/>
            </w:tcBorders>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0</w:t>
            </w:r>
          </w:p>
        </w:tc>
        <w:tc>
          <w:tcPr>
            <w:tcW w:w="972" w:type="dxa"/>
            <w:tcBorders>
              <w:top w:val="single" w:sz="4" w:space="0" w:color="auto"/>
              <w:left w:val="single" w:sz="4" w:space="0" w:color="auto"/>
              <w:bottom w:val="single" w:sz="4" w:space="0" w:color="auto"/>
              <w:right w:val="single" w:sz="4" w:space="0" w:color="auto"/>
            </w:tcBorders>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0</w:t>
            </w:r>
          </w:p>
        </w:tc>
      </w:tr>
      <w:tr w:rsidR="00123170" w:rsidRPr="006C64D8" w:rsidTr="00123170">
        <w:trPr>
          <w:trHeight w:val="22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170" w:rsidRPr="006C64D8" w:rsidRDefault="00123170" w:rsidP="001C5990">
            <w:pPr>
              <w:spacing w:after="0" w:line="240" w:lineRule="auto"/>
              <w:rPr>
                <w:rFonts w:eastAsia="Times New Roman" w:cs="Arial"/>
                <w:bCs/>
                <w:color w:val="000000" w:themeColor="text1"/>
                <w:sz w:val="22"/>
                <w:lang w:eastAsia="en-GB"/>
              </w:rPr>
            </w:pPr>
            <w:r w:rsidRPr="006C64D8">
              <w:rPr>
                <w:rFonts w:eastAsia="Times New Roman" w:cs="Arial"/>
                <w:bCs/>
                <w:color w:val="000000" w:themeColor="text1"/>
                <w:sz w:val="22"/>
                <w:lang w:eastAsia="en-GB"/>
              </w:rPr>
              <w:t>Level 2</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20</w:t>
            </w:r>
          </w:p>
        </w:tc>
        <w:tc>
          <w:tcPr>
            <w:tcW w:w="992" w:type="dxa"/>
            <w:tcBorders>
              <w:top w:val="single" w:sz="4" w:space="0" w:color="auto"/>
              <w:left w:val="single" w:sz="4" w:space="0" w:color="auto"/>
              <w:bottom w:val="single" w:sz="4" w:space="0" w:color="auto"/>
              <w:right w:val="single" w:sz="4" w:space="0" w:color="auto"/>
            </w:tcBorders>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w:t>
            </w:r>
          </w:p>
        </w:tc>
        <w:tc>
          <w:tcPr>
            <w:tcW w:w="972" w:type="dxa"/>
            <w:tcBorders>
              <w:top w:val="single" w:sz="4" w:space="0" w:color="auto"/>
              <w:left w:val="single" w:sz="4" w:space="0" w:color="auto"/>
              <w:bottom w:val="single" w:sz="4" w:space="0" w:color="auto"/>
              <w:right w:val="single" w:sz="4" w:space="0" w:color="auto"/>
            </w:tcBorders>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w:t>
            </w:r>
          </w:p>
        </w:tc>
      </w:tr>
      <w:tr w:rsidR="00123170" w:rsidRPr="006C64D8" w:rsidTr="00123170">
        <w:trPr>
          <w:trHeight w:val="22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170" w:rsidRPr="006C64D8" w:rsidRDefault="00123170" w:rsidP="001C5990">
            <w:pPr>
              <w:spacing w:after="0" w:line="240" w:lineRule="auto"/>
              <w:rPr>
                <w:rFonts w:eastAsia="Times New Roman" w:cs="Arial"/>
                <w:bCs/>
                <w:color w:val="000000" w:themeColor="text1"/>
                <w:sz w:val="22"/>
                <w:lang w:eastAsia="en-GB"/>
              </w:rPr>
            </w:pPr>
            <w:r w:rsidRPr="006C64D8">
              <w:rPr>
                <w:rFonts w:eastAsia="Times New Roman" w:cs="Arial"/>
                <w:bCs/>
                <w:color w:val="000000" w:themeColor="text1"/>
                <w:sz w:val="22"/>
                <w:lang w:eastAsia="en-GB"/>
              </w:rPr>
              <w:t>Level 3</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1</w:t>
            </w:r>
          </w:p>
        </w:tc>
        <w:tc>
          <w:tcPr>
            <w:tcW w:w="992" w:type="dxa"/>
            <w:tcBorders>
              <w:top w:val="single" w:sz="4" w:space="0" w:color="auto"/>
              <w:left w:val="single" w:sz="4" w:space="0" w:color="auto"/>
              <w:bottom w:val="single" w:sz="4" w:space="0" w:color="auto"/>
              <w:right w:val="single" w:sz="4" w:space="0" w:color="auto"/>
            </w:tcBorders>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20</w:t>
            </w:r>
          </w:p>
        </w:tc>
        <w:tc>
          <w:tcPr>
            <w:tcW w:w="972" w:type="dxa"/>
            <w:tcBorders>
              <w:top w:val="single" w:sz="4" w:space="0" w:color="auto"/>
              <w:left w:val="single" w:sz="4" w:space="0" w:color="auto"/>
              <w:bottom w:val="single" w:sz="4" w:space="0" w:color="auto"/>
              <w:right w:val="single" w:sz="4" w:space="0" w:color="auto"/>
            </w:tcBorders>
          </w:tcPr>
          <w:p w:rsidR="00123170" w:rsidRPr="006C64D8" w:rsidRDefault="00123170" w:rsidP="001C5990">
            <w:pPr>
              <w:spacing w:after="0" w:line="240" w:lineRule="auto"/>
              <w:jc w:val="center"/>
              <w:rPr>
                <w:rFonts w:eastAsia="Times New Roman" w:cs="Arial"/>
                <w:color w:val="000000" w:themeColor="text1"/>
                <w:sz w:val="22"/>
                <w:lang w:eastAsia="en-GB"/>
              </w:rPr>
            </w:pPr>
            <w:r w:rsidRPr="006C64D8">
              <w:rPr>
                <w:rFonts w:eastAsia="Times New Roman" w:cs="Arial"/>
                <w:color w:val="000000" w:themeColor="text1"/>
                <w:sz w:val="22"/>
                <w:lang w:eastAsia="en-GB"/>
              </w:rPr>
              <w:t>21</w:t>
            </w:r>
          </w:p>
        </w:tc>
      </w:tr>
      <w:tr w:rsidR="00123170" w:rsidRPr="006C64D8" w:rsidTr="00BA2BF7">
        <w:trPr>
          <w:trHeight w:val="227"/>
        </w:trPr>
        <w:tc>
          <w:tcPr>
            <w:tcW w:w="396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123170" w:rsidRPr="006C64D8" w:rsidRDefault="00123170" w:rsidP="001C5990">
            <w:pPr>
              <w:spacing w:after="0" w:line="240" w:lineRule="auto"/>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Overall Band</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23170" w:rsidRPr="006C64D8" w:rsidRDefault="00123170" w:rsidP="001C5990">
            <w:pPr>
              <w:spacing w:after="0" w:line="240" w:lineRule="auto"/>
              <w:jc w:val="center"/>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2</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23170" w:rsidRPr="006C64D8" w:rsidRDefault="00123170" w:rsidP="001C5990">
            <w:pPr>
              <w:spacing w:after="0" w:line="240" w:lineRule="auto"/>
              <w:jc w:val="center"/>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3</w:t>
            </w:r>
          </w:p>
        </w:tc>
        <w:tc>
          <w:tcPr>
            <w:tcW w:w="97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23170" w:rsidRPr="006C64D8" w:rsidRDefault="00123170" w:rsidP="001C5990">
            <w:pPr>
              <w:spacing w:after="0" w:line="240" w:lineRule="auto"/>
              <w:jc w:val="center"/>
              <w:rPr>
                <w:rFonts w:eastAsia="Times New Roman" w:cs="Arial"/>
                <w:b/>
                <w:bCs/>
                <w:color w:val="000000" w:themeColor="text1"/>
                <w:sz w:val="22"/>
                <w:lang w:eastAsia="en-GB"/>
              </w:rPr>
            </w:pPr>
            <w:r w:rsidRPr="006C64D8">
              <w:rPr>
                <w:rFonts w:eastAsia="Times New Roman" w:cs="Arial"/>
                <w:b/>
                <w:bCs/>
                <w:color w:val="000000" w:themeColor="text1"/>
                <w:sz w:val="22"/>
                <w:lang w:eastAsia="en-GB"/>
              </w:rPr>
              <w:t>3</w:t>
            </w:r>
          </w:p>
        </w:tc>
      </w:tr>
    </w:tbl>
    <w:p w:rsidR="00AB2033" w:rsidRPr="006C64D8" w:rsidRDefault="00AB2033" w:rsidP="00524B56">
      <w:pPr>
        <w:autoSpaceDE w:val="0"/>
        <w:autoSpaceDN w:val="0"/>
        <w:adjustRightInd w:val="0"/>
        <w:spacing w:after="0"/>
        <w:jc w:val="both"/>
        <w:rPr>
          <w:rFonts w:eastAsia="Times New Roman" w:cs="Arial"/>
          <w:bCs/>
          <w:color w:val="000000" w:themeColor="text1"/>
          <w:szCs w:val="24"/>
          <w:lang w:val="en" w:eastAsia="en-GB"/>
        </w:rPr>
      </w:pPr>
    </w:p>
    <w:p w:rsidR="00BA2BF7" w:rsidRDefault="00FD34F9" w:rsidP="00590359">
      <w:pPr>
        <w:autoSpaceDE w:val="0"/>
        <w:autoSpaceDN w:val="0"/>
        <w:adjustRightInd w:val="0"/>
        <w:spacing w:after="0"/>
        <w:jc w:val="both"/>
        <w:rPr>
          <w:rFonts w:eastAsia="Times New Roman" w:cs="Arial"/>
          <w:bCs/>
          <w:color w:val="000000" w:themeColor="text1"/>
          <w:szCs w:val="24"/>
          <w:lang w:val="en" w:eastAsia="en-GB"/>
        </w:rPr>
      </w:pPr>
      <w:r w:rsidRPr="006C64D8">
        <w:rPr>
          <w:rFonts w:eastAsia="Times New Roman" w:cs="Arial"/>
          <w:bCs/>
          <w:color w:val="000000" w:themeColor="text1"/>
          <w:szCs w:val="24"/>
          <w:lang w:val="en" w:eastAsia="en-GB"/>
        </w:rPr>
        <w:t xml:space="preserve">As a result </w:t>
      </w:r>
      <w:r w:rsidR="00BA2BF7">
        <w:rPr>
          <w:rFonts w:eastAsia="Times New Roman" w:cs="Arial"/>
          <w:bCs/>
          <w:color w:val="000000" w:themeColor="text1"/>
          <w:szCs w:val="24"/>
          <w:lang w:val="en" w:eastAsia="en-GB"/>
        </w:rPr>
        <w:t xml:space="preserve">our assessment of our performance </w:t>
      </w:r>
      <w:r w:rsidRPr="006C64D8">
        <w:rPr>
          <w:rFonts w:eastAsia="Times New Roman" w:cs="Arial"/>
          <w:bCs/>
          <w:color w:val="000000" w:themeColor="text1"/>
          <w:szCs w:val="24"/>
          <w:lang w:val="en" w:eastAsia="en-GB"/>
        </w:rPr>
        <w:t xml:space="preserve">and </w:t>
      </w:r>
      <w:r w:rsidR="00BA2BF7">
        <w:rPr>
          <w:rFonts w:eastAsia="Times New Roman" w:cs="Arial"/>
          <w:bCs/>
          <w:color w:val="000000" w:themeColor="text1"/>
          <w:szCs w:val="24"/>
          <w:lang w:val="en" w:eastAsia="en-GB"/>
        </w:rPr>
        <w:t xml:space="preserve">DfT </w:t>
      </w:r>
      <w:r w:rsidRPr="006C64D8">
        <w:rPr>
          <w:rFonts w:eastAsia="Times New Roman" w:cs="Arial"/>
          <w:bCs/>
          <w:color w:val="000000" w:themeColor="text1"/>
          <w:szCs w:val="24"/>
          <w:lang w:val="en" w:eastAsia="en-GB"/>
        </w:rPr>
        <w:t xml:space="preserve">guidelines the </w:t>
      </w:r>
      <w:r w:rsidR="008A28EE" w:rsidRPr="006C64D8">
        <w:rPr>
          <w:rFonts w:eastAsia="Times New Roman" w:cs="Arial"/>
          <w:bCs/>
          <w:color w:val="000000" w:themeColor="text1"/>
          <w:szCs w:val="24"/>
          <w:lang w:val="en" w:eastAsia="en-GB"/>
        </w:rPr>
        <w:t>C</w:t>
      </w:r>
      <w:r w:rsidRPr="006C64D8">
        <w:rPr>
          <w:rFonts w:eastAsia="Times New Roman" w:cs="Arial"/>
          <w:bCs/>
          <w:color w:val="000000" w:themeColor="text1"/>
          <w:szCs w:val="24"/>
          <w:lang w:val="en" w:eastAsia="en-GB"/>
        </w:rPr>
        <w:t xml:space="preserve">ounty </w:t>
      </w:r>
      <w:r w:rsidR="008A28EE" w:rsidRPr="006C64D8">
        <w:rPr>
          <w:rFonts w:eastAsia="Times New Roman" w:cs="Arial"/>
          <w:bCs/>
          <w:color w:val="000000" w:themeColor="text1"/>
          <w:szCs w:val="24"/>
          <w:lang w:val="en" w:eastAsia="en-GB"/>
        </w:rPr>
        <w:t>C</w:t>
      </w:r>
      <w:r w:rsidRPr="006C64D8">
        <w:rPr>
          <w:rFonts w:eastAsia="Times New Roman" w:cs="Arial"/>
          <w:bCs/>
          <w:color w:val="000000" w:themeColor="text1"/>
          <w:szCs w:val="24"/>
          <w:lang w:val="en" w:eastAsia="en-GB"/>
        </w:rPr>
        <w:t xml:space="preserve">ouncil assessed itself to be a Band </w:t>
      </w:r>
      <w:r w:rsidR="00590359" w:rsidRPr="006C64D8">
        <w:rPr>
          <w:rFonts w:eastAsia="Times New Roman" w:cs="Arial"/>
          <w:bCs/>
          <w:color w:val="000000" w:themeColor="text1"/>
          <w:szCs w:val="24"/>
          <w:lang w:val="en" w:eastAsia="en-GB"/>
        </w:rPr>
        <w:t>3</w:t>
      </w:r>
      <w:r w:rsidRPr="006C64D8">
        <w:rPr>
          <w:rFonts w:eastAsia="Times New Roman" w:cs="Arial"/>
          <w:bCs/>
          <w:color w:val="000000" w:themeColor="text1"/>
          <w:szCs w:val="24"/>
          <w:lang w:val="en" w:eastAsia="en-GB"/>
        </w:rPr>
        <w:t xml:space="preserve"> authority</w:t>
      </w:r>
      <w:r w:rsidR="00590359" w:rsidRPr="006C64D8">
        <w:rPr>
          <w:rFonts w:eastAsia="Times New Roman" w:cs="Arial"/>
          <w:bCs/>
          <w:color w:val="000000" w:themeColor="text1"/>
          <w:szCs w:val="24"/>
          <w:lang w:val="en" w:eastAsia="en-GB"/>
        </w:rPr>
        <w:t xml:space="preserve"> </w:t>
      </w:r>
      <w:r w:rsidR="006C64D8">
        <w:rPr>
          <w:rFonts w:eastAsia="Times New Roman" w:cs="Arial"/>
          <w:bCs/>
          <w:color w:val="000000" w:themeColor="text1"/>
          <w:szCs w:val="24"/>
          <w:lang w:val="en" w:eastAsia="en-GB"/>
        </w:rPr>
        <w:t xml:space="preserve">in January 2017 and due to improvements </w:t>
      </w:r>
      <w:r w:rsidR="00BA2BF7">
        <w:rPr>
          <w:rFonts w:eastAsia="Times New Roman" w:cs="Arial"/>
          <w:bCs/>
          <w:color w:val="000000" w:themeColor="text1"/>
          <w:szCs w:val="24"/>
          <w:lang w:val="en" w:eastAsia="en-GB"/>
        </w:rPr>
        <w:t>in relation to work programming we strengthened our position as a Band 3 authority.</w:t>
      </w:r>
    </w:p>
    <w:p w:rsidR="00AF129A" w:rsidRDefault="00AF129A" w:rsidP="00605DCB">
      <w:pPr>
        <w:spacing w:after="0"/>
        <w:jc w:val="both"/>
      </w:pPr>
    </w:p>
    <w:p w:rsidR="0090140C" w:rsidRDefault="00FD6A1E" w:rsidP="00FE2D95">
      <w:pPr>
        <w:pStyle w:val="BodyText1"/>
        <w:numPr>
          <w:ilvl w:val="0"/>
          <w:numId w:val="10"/>
        </w:numPr>
        <w:spacing w:before="0" w:after="0"/>
        <w:rPr>
          <w:b/>
        </w:rPr>
      </w:pPr>
      <w:r>
        <w:rPr>
          <w:b/>
        </w:rPr>
        <w:t>Service Standard Update</w:t>
      </w:r>
    </w:p>
    <w:p w:rsidR="00FD6A1E" w:rsidRPr="00694BCC" w:rsidRDefault="00FD6A1E" w:rsidP="00FD6A1E">
      <w:pPr>
        <w:pStyle w:val="BodyText1"/>
        <w:spacing w:before="0" w:after="0"/>
      </w:pPr>
    </w:p>
    <w:p w:rsidR="00FD6A1E" w:rsidRPr="00694BCC" w:rsidRDefault="00FD6A1E" w:rsidP="00694BCC">
      <w:pPr>
        <w:pStyle w:val="Heading3"/>
        <w:rPr>
          <w:rFonts w:ascii="Arial" w:hAnsi="Arial" w:cs="Arial"/>
          <w:b/>
          <w:color w:val="000000" w:themeColor="text1"/>
        </w:rPr>
      </w:pPr>
      <w:r w:rsidRPr="00694BCC">
        <w:rPr>
          <w:rFonts w:ascii="Arial" w:hAnsi="Arial" w:cs="Arial"/>
          <w:b/>
          <w:color w:val="000000" w:themeColor="text1"/>
        </w:rPr>
        <w:t>Condition – Unclassified Roads</w:t>
      </w:r>
    </w:p>
    <w:p w:rsidR="00A77310" w:rsidRDefault="00605DCB" w:rsidP="008F75A8">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As reported last year w</w:t>
      </w:r>
      <w:r w:rsidR="00D148B7">
        <w:rPr>
          <w:rFonts w:eastAsia="Times New Roman" w:cs="Arial"/>
          <w:bCs/>
          <w:color w:val="000000" w:themeColor="text1"/>
          <w:szCs w:val="24"/>
          <w:lang w:val="en" w:eastAsia="en-GB"/>
        </w:rPr>
        <w:t xml:space="preserve">e have undertaken </w:t>
      </w:r>
      <w:r w:rsidR="00A33306">
        <w:rPr>
          <w:rFonts w:eastAsia="Times New Roman" w:cs="Arial"/>
          <w:bCs/>
          <w:color w:val="000000" w:themeColor="text1"/>
          <w:szCs w:val="24"/>
          <w:lang w:val="en" w:eastAsia="en-GB"/>
        </w:rPr>
        <w:t>highway video surveys</w:t>
      </w:r>
      <w:r w:rsidR="00784737">
        <w:rPr>
          <w:rFonts w:eastAsia="Times New Roman" w:cs="Arial"/>
          <w:bCs/>
          <w:color w:val="000000" w:themeColor="text1"/>
          <w:szCs w:val="24"/>
          <w:lang w:val="en" w:eastAsia="en-GB"/>
        </w:rPr>
        <w:t xml:space="preserve"> of the unclassified road network</w:t>
      </w:r>
      <w:r>
        <w:rPr>
          <w:rFonts w:eastAsia="Times New Roman" w:cs="Arial"/>
          <w:bCs/>
          <w:color w:val="000000" w:themeColor="text1"/>
          <w:szCs w:val="24"/>
          <w:lang w:val="en" w:eastAsia="en-GB"/>
        </w:rPr>
        <w:t xml:space="preserve">.  The </w:t>
      </w:r>
      <w:r w:rsidR="00784737">
        <w:rPr>
          <w:rFonts w:eastAsia="Times New Roman" w:cs="Arial"/>
          <w:bCs/>
          <w:color w:val="000000" w:themeColor="text1"/>
          <w:szCs w:val="24"/>
          <w:lang w:val="en" w:eastAsia="en-GB"/>
        </w:rPr>
        <w:t xml:space="preserve">provider of this service uses vehicles </w:t>
      </w:r>
      <w:r w:rsidR="005D2668">
        <w:rPr>
          <w:rFonts w:eastAsia="Times New Roman" w:cs="Arial"/>
          <w:bCs/>
          <w:color w:val="000000" w:themeColor="text1"/>
          <w:szCs w:val="24"/>
          <w:lang w:val="en" w:eastAsia="en-GB"/>
        </w:rPr>
        <w:t>that</w:t>
      </w:r>
      <w:r w:rsidR="00784737">
        <w:rPr>
          <w:rFonts w:eastAsia="Times New Roman" w:cs="Arial"/>
          <w:bCs/>
          <w:color w:val="000000" w:themeColor="text1"/>
          <w:szCs w:val="24"/>
          <w:lang w:val="en" w:eastAsia="en-GB"/>
        </w:rPr>
        <w:t xml:space="preserve"> are mounted with several high definition cameras that record</w:t>
      </w:r>
      <w:r w:rsidR="005D2668">
        <w:rPr>
          <w:rFonts w:eastAsia="Times New Roman" w:cs="Arial"/>
          <w:bCs/>
          <w:color w:val="000000" w:themeColor="text1"/>
          <w:szCs w:val="24"/>
          <w:lang w:val="en" w:eastAsia="en-GB"/>
        </w:rPr>
        <w:t>s</w:t>
      </w:r>
      <w:r w:rsidR="00784737">
        <w:rPr>
          <w:rFonts w:eastAsia="Times New Roman" w:cs="Arial"/>
          <w:bCs/>
          <w:color w:val="000000" w:themeColor="text1"/>
          <w:szCs w:val="24"/>
          <w:lang w:val="en" w:eastAsia="en-GB"/>
        </w:rPr>
        <w:t xml:space="preserve"> the road </w:t>
      </w:r>
      <w:r w:rsidR="005D2668">
        <w:rPr>
          <w:rFonts w:eastAsia="Times New Roman" w:cs="Arial"/>
          <w:bCs/>
          <w:color w:val="000000" w:themeColor="text1"/>
          <w:szCs w:val="24"/>
          <w:lang w:val="en" w:eastAsia="en-GB"/>
        </w:rPr>
        <w:t>surface</w:t>
      </w:r>
      <w:r w:rsidR="00784737">
        <w:rPr>
          <w:rFonts w:eastAsia="Times New Roman" w:cs="Arial"/>
          <w:bCs/>
          <w:color w:val="000000" w:themeColor="text1"/>
          <w:szCs w:val="24"/>
          <w:lang w:val="en" w:eastAsia="en-GB"/>
        </w:rPr>
        <w:t xml:space="preserve">.  The provider then </w:t>
      </w:r>
      <w:r w:rsidR="005D2668">
        <w:rPr>
          <w:rFonts w:eastAsia="Times New Roman" w:cs="Arial"/>
          <w:bCs/>
          <w:color w:val="000000" w:themeColor="text1"/>
          <w:szCs w:val="24"/>
          <w:lang w:val="en" w:eastAsia="en-GB"/>
        </w:rPr>
        <w:t xml:space="preserve">analyses </w:t>
      </w:r>
      <w:r w:rsidR="00784737">
        <w:rPr>
          <w:rFonts w:eastAsia="Times New Roman" w:cs="Arial"/>
          <w:bCs/>
          <w:color w:val="000000" w:themeColor="text1"/>
          <w:szCs w:val="24"/>
          <w:lang w:val="en" w:eastAsia="en-GB"/>
        </w:rPr>
        <w:t xml:space="preserve">the video footage so that the appropriate road condition can be assigned to </w:t>
      </w:r>
      <w:r w:rsidR="00875C79">
        <w:rPr>
          <w:rFonts w:eastAsia="Times New Roman" w:cs="Arial"/>
          <w:bCs/>
          <w:color w:val="000000" w:themeColor="text1"/>
          <w:szCs w:val="24"/>
          <w:lang w:val="en" w:eastAsia="en-GB"/>
        </w:rPr>
        <w:t xml:space="preserve">a particular </w:t>
      </w:r>
      <w:r w:rsidR="00784737">
        <w:rPr>
          <w:rFonts w:eastAsia="Times New Roman" w:cs="Arial"/>
          <w:bCs/>
          <w:color w:val="000000" w:themeColor="text1"/>
          <w:szCs w:val="24"/>
          <w:lang w:val="en" w:eastAsia="en-GB"/>
        </w:rPr>
        <w:t>section of road</w:t>
      </w:r>
      <w:r w:rsidR="005419FF">
        <w:rPr>
          <w:rFonts w:eastAsia="Times New Roman" w:cs="Arial"/>
          <w:bCs/>
          <w:color w:val="000000" w:themeColor="text1"/>
          <w:szCs w:val="24"/>
          <w:lang w:val="en" w:eastAsia="en-GB"/>
        </w:rPr>
        <w:t xml:space="preserve">.  Following the completion of this work the County Council examined the results of the survey and as a result of some discrepancies and omissions, the provider has agreed to undertake further works, at no additional cost to the County Council in order to refine their works.  This remedial work is </w:t>
      </w:r>
      <w:r w:rsidR="00A77310">
        <w:rPr>
          <w:rFonts w:eastAsia="Times New Roman" w:cs="Arial"/>
          <w:bCs/>
          <w:color w:val="000000" w:themeColor="text1"/>
          <w:szCs w:val="24"/>
          <w:lang w:val="en" w:eastAsia="en-GB"/>
        </w:rPr>
        <w:t>expected to be delivered in the next month.  Once we have this information we will look at setting a service standard and present our proposals to cabinet for approval.</w:t>
      </w:r>
    </w:p>
    <w:p w:rsidR="005419FF" w:rsidRDefault="005419FF" w:rsidP="008F75A8">
      <w:pPr>
        <w:autoSpaceDE w:val="0"/>
        <w:autoSpaceDN w:val="0"/>
        <w:adjustRightInd w:val="0"/>
        <w:spacing w:after="0"/>
        <w:jc w:val="both"/>
        <w:rPr>
          <w:rFonts w:eastAsia="Times New Roman" w:cs="Arial"/>
          <w:bCs/>
          <w:color w:val="000000" w:themeColor="text1"/>
          <w:szCs w:val="24"/>
          <w:lang w:val="en" w:eastAsia="en-GB"/>
        </w:rPr>
      </w:pPr>
    </w:p>
    <w:p w:rsidR="005419FF" w:rsidRDefault="005419FF" w:rsidP="008F75A8">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 xml:space="preserve">When complete, </w:t>
      </w:r>
      <w:r w:rsidR="00D24A54">
        <w:rPr>
          <w:rFonts w:eastAsia="Times New Roman" w:cs="Arial"/>
          <w:bCs/>
          <w:color w:val="000000" w:themeColor="text1"/>
          <w:szCs w:val="24"/>
          <w:lang w:val="en" w:eastAsia="en-GB"/>
        </w:rPr>
        <w:t xml:space="preserve">we </w:t>
      </w:r>
      <w:r>
        <w:rPr>
          <w:rFonts w:eastAsia="Times New Roman" w:cs="Arial"/>
          <w:bCs/>
          <w:color w:val="000000" w:themeColor="text1"/>
          <w:szCs w:val="24"/>
          <w:lang w:val="en" w:eastAsia="en-GB"/>
        </w:rPr>
        <w:t xml:space="preserve">will </w:t>
      </w:r>
      <w:r w:rsidR="00D24A54">
        <w:rPr>
          <w:rFonts w:eastAsia="Times New Roman" w:cs="Arial"/>
          <w:bCs/>
          <w:color w:val="000000" w:themeColor="text1"/>
          <w:szCs w:val="24"/>
          <w:lang w:val="en" w:eastAsia="en-GB"/>
        </w:rPr>
        <w:t xml:space="preserve">have a better understanding of our rural / urban roads and </w:t>
      </w:r>
      <w:r>
        <w:rPr>
          <w:rFonts w:eastAsia="Times New Roman" w:cs="Arial"/>
          <w:bCs/>
          <w:color w:val="000000" w:themeColor="text1"/>
          <w:szCs w:val="24"/>
          <w:lang w:val="en" w:eastAsia="en-GB"/>
        </w:rPr>
        <w:t>will inform our investment decisions ahead of the commencement of P</w:t>
      </w:r>
      <w:r w:rsidR="00D24A54">
        <w:rPr>
          <w:rFonts w:eastAsia="Times New Roman" w:cs="Arial"/>
          <w:bCs/>
          <w:color w:val="000000" w:themeColor="text1"/>
          <w:szCs w:val="24"/>
          <w:lang w:val="en" w:eastAsia="en-GB"/>
        </w:rPr>
        <w:t>hase 2 of the TAMP</w:t>
      </w:r>
      <w:r>
        <w:rPr>
          <w:rFonts w:eastAsia="Times New Roman" w:cs="Arial"/>
          <w:bCs/>
          <w:color w:val="000000" w:themeColor="text1"/>
          <w:szCs w:val="24"/>
          <w:lang w:val="en" w:eastAsia="en-GB"/>
        </w:rPr>
        <w:t>.</w:t>
      </w:r>
    </w:p>
    <w:p w:rsidR="005419FF" w:rsidRDefault="005419FF" w:rsidP="008F75A8">
      <w:pPr>
        <w:autoSpaceDE w:val="0"/>
        <w:autoSpaceDN w:val="0"/>
        <w:adjustRightInd w:val="0"/>
        <w:spacing w:after="0"/>
        <w:jc w:val="both"/>
        <w:rPr>
          <w:rFonts w:eastAsia="Times New Roman" w:cs="Arial"/>
          <w:bCs/>
          <w:color w:val="000000" w:themeColor="text1"/>
          <w:szCs w:val="24"/>
          <w:lang w:val="en" w:eastAsia="en-GB"/>
        </w:rPr>
      </w:pPr>
    </w:p>
    <w:p w:rsidR="00526B0B" w:rsidRPr="00065A79" w:rsidRDefault="00065A79" w:rsidP="00065A79">
      <w:pPr>
        <w:pStyle w:val="Heading3"/>
        <w:rPr>
          <w:rFonts w:ascii="Arial" w:eastAsia="Times New Roman" w:hAnsi="Arial" w:cs="Arial"/>
          <w:b/>
          <w:color w:val="000000" w:themeColor="text1"/>
          <w:lang w:val="en" w:eastAsia="en-GB"/>
        </w:rPr>
      </w:pPr>
      <w:r w:rsidRPr="00065A79">
        <w:rPr>
          <w:rFonts w:ascii="Arial" w:eastAsia="Times New Roman" w:hAnsi="Arial" w:cs="Arial"/>
          <w:b/>
          <w:color w:val="000000" w:themeColor="text1"/>
          <w:lang w:val="en" w:eastAsia="en-GB"/>
        </w:rPr>
        <w:t>Condition – Footway Network</w:t>
      </w:r>
    </w:p>
    <w:p w:rsidR="005419FF" w:rsidRDefault="00D24A54" w:rsidP="00540243">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W</w:t>
      </w:r>
      <w:r w:rsidR="005419FF">
        <w:rPr>
          <w:rFonts w:eastAsia="Times New Roman" w:cs="Arial"/>
          <w:bCs/>
          <w:color w:val="000000" w:themeColor="text1"/>
          <w:szCs w:val="24"/>
          <w:lang w:val="en" w:eastAsia="en-GB"/>
        </w:rPr>
        <w:t>hilst our footway network has been the subject of a video survey we are awaiting the provider to complete outstanding remedial works</w:t>
      </w:r>
      <w:r w:rsidR="00875C79">
        <w:rPr>
          <w:rFonts w:eastAsia="Times New Roman" w:cs="Arial"/>
          <w:bCs/>
          <w:color w:val="000000" w:themeColor="text1"/>
          <w:szCs w:val="24"/>
          <w:lang w:val="en" w:eastAsia="en-GB"/>
        </w:rPr>
        <w:t>, as above,</w:t>
      </w:r>
      <w:r w:rsidR="005419FF">
        <w:rPr>
          <w:rFonts w:eastAsia="Times New Roman" w:cs="Arial"/>
          <w:bCs/>
          <w:color w:val="000000" w:themeColor="text1"/>
          <w:szCs w:val="24"/>
          <w:lang w:val="en" w:eastAsia="en-GB"/>
        </w:rPr>
        <w:t xml:space="preserve"> so that we can get a better insight of the condition of our footway network.</w:t>
      </w:r>
    </w:p>
    <w:p w:rsidR="00875C79" w:rsidRDefault="00875C79" w:rsidP="00540243">
      <w:pPr>
        <w:autoSpaceDE w:val="0"/>
        <w:autoSpaceDN w:val="0"/>
        <w:adjustRightInd w:val="0"/>
        <w:spacing w:after="0"/>
        <w:jc w:val="both"/>
        <w:rPr>
          <w:rFonts w:eastAsia="Times New Roman" w:cs="Arial"/>
          <w:bCs/>
          <w:color w:val="000000" w:themeColor="text1"/>
          <w:szCs w:val="24"/>
          <w:lang w:val="en" w:eastAsia="en-GB"/>
        </w:rPr>
      </w:pPr>
    </w:p>
    <w:p w:rsidR="00D24A54" w:rsidRDefault="005419FF" w:rsidP="00540243">
      <w:pPr>
        <w:autoSpaceDE w:val="0"/>
        <w:autoSpaceDN w:val="0"/>
        <w:adjustRightInd w:val="0"/>
        <w:spacing w:after="0"/>
        <w:jc w:val="both"/>
        <w:rPr>
          <w:rFonts w:eastAsia="Times New Roman" w:cs="Arial"/>
          <w:bCs/>
          <w:color w:val="000000" w:themeColor="text1"/>
          <w:szCs w:val="24"/>
          <w:lang w:val="en" w:eastAsia="en-GB"/>
        </w:rPr>
      </w:pPr>
      <w:r>
        <w:rPr>
          <w:rFonts w:eastAsia="Times New Roman" w:cs="Arial"/>
          <w:bCs/>
          <w:color w:val="000000" w:themeColor="text1"/>
          <w:szCs w:val="24"/>
          <w:lang w:val="en" w:eastAsia="en-GB"/>
        </w:rPr>
        <w:t>We will i</w:t>
      </w:r>
      <w:r w:rsidR="00D24A54">
        <w:rPr>
          <w:rFonts w:eastAsia="Times New Roman" w:cs="Arial"/>
          <w:bCs/>
          <w:color w:val="000000" w:themeColor="text1"/>
          <w:szCs w:val="24"/>
          <w:lang w:val="en" w:eastAsia="en-GB"/>
        </w:rPr>
        <w:t>n the meantime continuing to use the number of defects / claims as a means of measuring levels of service.</w:t>
      </w:r>
    </w:p>
    <w:p w:rsidR="00540243" w:rsidRDefault="00540243" w:rsidP="008F75A8">
      <w:pPr>
        <w:autoSpaceDE w:val="0"/>
        <w:autoSpaceDN w:val="0"/>
        <w:adjustRightInd w:val="0"/>
        <w:spacing w:after="0"/>
        <w:jc w:val="both"/>
        <w:rPr>
          <w:rFonts w:eastAsia="Times New Roman" w:cs="Arial"/>
          <w:bCs/>
          <w:color w:val="000000" w:themeColor="text1"/>
          <w:szCs w:val="24"/>
          <w:lang w:val="en" w:eastAsia="en-GB"/>
        </w:rPr>
      </w:pPr>
    </w:p>
    <w:p w:rsidR="00D24A54" w:rsidRPr="00F43202" w:rsidRDefault="00F43202" w:rsidP="00F43202">
      <w:pPr>
        <w:pStyle w:val="NormalWeb"/>
        <w:numPr>
          <w:ilvl w:val="0"/>
          <w:numId w:val="10"/>
        </w:numPr>
        <w:spacing w:after="0" w:line="276" w:lineRule="auto"/>
        <w:jc w:val="both"/>
        <w:rPr>
          <w:rFonts w:ascii="Arial" w:hAnsi="Arial" w:cs="Arial"/>
          <w:b/>
          <w:color w:val="000000" w:themeColor="text1"/>
        </w:rPr>
      </w:pPr>
      <w:r w:rsidRPr="00F43202">
        <w:rPr>
          <w:rFonts w:ascii="Arial" w:hAnsi="Arial" w:cs="Arial"/>
          <w:b/>
          <w:color w:val="000000" w:themeColor="text1"/>
        </w:rPr>
        <w:t>Highway Management Plan</w:t>
      </w:r>
    </w:p>
    <w:p w:rsidR="00005503" w:rsidRPr="00005503" w:rsidRDefault="00005503" w:rsidP="00005503">
      <w:pPr>
        <w:spacing w:after="0"/>
        <w:jc w:val="both"/>
      </w:pPr>
      <w:r w:rsidRPr="00005503">
        <w:t>The Highway Maintenance Plan was approved in 2009 and since then there have been many changes within the highway sector; including changes to the level of available finance and changes to the way the highway assets are maintained, with a move towards a risk based prioritisation approach.</w:t>
      </w:r>
      <w:r w:rsidR="004B32CD">
        <w:t xml:space="preserve">  </w:t>
      </w:r>
      <w:r w:rsidRPr="00005503">
        <w:t>As a result, we need to manage more how we maintain our highway assets and the Highway Maintenance Plan has been renamed the Highway Management Plan to reflect this.</w:t>
      </w:r>
    </w:p>
    <w:p w:rsidR="00005503" w:rsidRDefault="00005503" w:rsidP="00005503">
      <w:pPr>
        <w:spacing w:after="0"/>
        <w:jc w:val="both"/>
      </w:pPr>
    </w:p>
    <w:p w:rsidR="00005503" w:rsidRPr="00005503" w:rsidRDefault="00005503" w:rsidP="00005503">
      <w:pPr>
        <w:spacing w:after="0"/>
        <w:jc w:val="both"/>
      </w:pPr>
      <w:r w:rsidRPr="00F43202">
        <w:rPr>
          <w:color w:val="000000" w:themeColor="text1"/>
        </w:rPr>
        <w:t>At their October 2018 meeting, the Cabinet were asked to approve a new Highway Management Plan, which had been drafted to in response to the '</w:t>
      </w:r>
      <w:r w:rsidRPr="00F43202">
        <w:rPr>
          <w:szCs w:val="24"/>
        </w:rPr>
        <w:t>Well Managed Highway Infrastructure Code of Practice’</w:t>
      </w:r>
      <w:r>
        <w:rPr>
          <w:szCs w:val="24"/>
        </w:rPr>
        <w:t>.</w:t>
      </w:r>
      <w:r w:rsidR="004B32CD">
        <w:rPr>
          <w:szCs w:val="24"/>
        </w:rPr>
        <w:t xml:space="preserve">  </w:t>
      </w:r>
      <w:r w:rsidRPr="00005503">
        <w:t>The Highways Management Plan, has been updated to consolidate into one place all changes that have previously been approved in relation to:-</w:t>
      </w:r>
    </w:p>
    <w:p w:rsidR="00005503" w:rsidRPr="00005503" w:rsidRDefault="00005503" w:rsidP="004B32CD">
      <w:pPr>
        <w:pStyle w:val="Default"/>
        <w:spacing w:line="276" w:lineRule="auto"/>
      </w:pPr>
    </w:p>
    <w:p w:rsidR="00005503" w:rsidRPr="00005503" w:rsidRDefault="00005503" w:rsidP="004B32CD">
      <w:pPr>
        <w:pStyle w:val="Default"/>
        <w:numPr>
          <w:ilvl w:val="0"/>
          <w:numId w:val="48"/>
        </w:numPr>
        <w:spacing w:line="276" w:lineRule="auto"/>
      </w:pPr>
      <w:r w:rsidRPr="00005503">
        <w:t>Transport Asset Management Plan</w:t>
      </w:r>
    </w:p>
    <w:p w:rsidR="00005503" w:rsidRPr="00005503" w:rsidRDefault="00005503" w:rsidP="004B32CD">
      <w:pPr>
        <w:pStyle w:val="Default"/>
        <w:numPr>
          <w:ilvl w:val="0"/>
          <w:numId w:val="48"/>
        </w:numPr>
        <w:spacing w:line="276" w:lineRule="auto"/>
      </w:pPr>
      <w:r w:rsidRPr="00005503">
        <w:t>Highway Asset Management Framework</w:t>
      </w:r>
    </w:p>
    <w:p w:rsidR="00005503" w:rsidRPr="00005503" w:rsidRDefault="00005503" w:rsidP="004B32CD">
      <w:pPr>
        <w:pStyle w:val="Default"/>
        <w:numPr>
          <w:ilvl w:val="0"/>
          <w:numId w:val="48"/>
        </w:numPr>
        <w:spacing w:line="276" w:lineRule="auto"/>
      </w:pPr>
      <w:r w:rsidRPr="00005503">
        <w:t>Flood Risk Strategy</w:t>
      </w:r>
    </w:p>
    <w:p w:rsidR="00005503" w:rsidRPr="00005503" w:rsidRDefault="00005503" w:rsidP="004B32CD">
      <w:pPr>
        <w:pStyle w:val="Default"/>
        <w:numPr>
          <w:ilvl w:val="0"/>
          <w:numId w:val="48"/>
        </w:numPr>
        <w:spacing w:line="276" w:lineRule="auto"/>
      </w:pPr>
      <w:r w:rsidRPr="00005503">
        <w:t>Gully Cleaning Code of Practice</w:t>
      </w:r>
    </w:p>
    <w:p w:rsidR="00005503" w:rsidRPr="00005503" w:rsidRDefault="00005503" w:rsidP="004B32CD">
      <w:pPr>
        <w:pStyle w:val="Default"/>
        <w:numPr>
          <w:ilvl w:val="0"/>
          <w:numId w:val="48"/>
        </w:numPr>
        <w:spacing w:line="276" w:lineRule="auto"/>
      </w:pPr>
      <w:r w:rsidRPr="00005503">
        <w:t>Lifecycle Plans relating to Street Lighting, Structures and Carriageways</w:t>
      </w:r>
    </w:p>
    <w:p w:rsidR="00005503" w:rsidRPr="00005503" w:rsidRDefault="00005503" w:rsidP="004B32CD">
      <w:pPr>
        <w:pStyle w:val="Default"/>
        <w:numPr>
          <w:ilvl w:val="0"/>
          <w:numId w:val="48"/>
        </w:numPr>
        <w:spacing w:line="276" w:lineRule="auto"/>
      </w:pPr>
      <w:r w:rsidRPr="00005503">
        <w:t>Resilient Road Network</w:t>
      </w:r>
    </w:p>
    <w:p w:rsidR="00005503" w:rsidRPr="00005503" w:rsidRDefault="00005503" w:rsidP="004B32CD">
      <w:pPr>
        <w:pStyle w:val="Default"/>
        <w:numPr>
          <w:ilvl w:val="0"/>
          <w:numId w:val="48"/>
        </w:numPr>
        <w:spacing w:line="276" w:lineRule="auto"/>
      </w:pPr>
      <w:r w:rsidRPr="00005503">
        <w:t>Skid Resistant Policy</w:t>
      </w:r>
    </w:p>
    <w:p w:rsidR="00005503" w:rsidRPr="00005503" w:rsidRDefault="00005503" w:rsidP="004B32CD">
      <w:pPr>
        <w:pStyle w:val="Default"/>
        <w:numPr>
          <w:ilvl w:val="0"/>
          <w:numId w:val="48"/>
        </w:numPr>
        <w:spacing w:line="276" w:lineRule="auto"/>
      </w:pPr>
      <w:r w:rsidRPr="00005503">
        <w:t>Trash Screen Code of Practice</w:t>
      </w:r>
    </w:p>
    <w:p w:rsidR="00005503" w:rsidRPr="00005503" w:rsidRDefault="00005503" w:rsidP="004B32CD">
      <w:pPr>
        <w:pStyle w:val="Default"/>
        <w:numPr>
          <w:ilvl w:val="0"/>
          <w:numId w:val="48"/>
        </w:numPr>
        <w:spacing w:line="276" w:lineRule="auto"/>
      </w:pPr>
      <w:r w:rsidRPr="00005503">
        <w:t>Vehicular Crossing Code of Practice</w:t>
      </w:r>
    </w:p>
    <w:p w:rsidR="00005503" w:rsidRPr="00005503" w:rsidRDefault="00005503" w:rsidP="004B32CD">
      <w:pPr>
        <w:pStyle w:val="Default"/>
        <w:numPr>
          <w:ilvl w:val="0"/>
          <w:numId w:val="48"/>
        </w:numPr>
        <w:spacing w:line="276" w:lineRule="auto"/>
      </w:pPr>
      <w:r w:rsidRPr="00005503">
        <w:t>Changes in Service Standards in response to funding constraints, e.g. road markings, grass cutting, road signs and street lighting repairs</w:t>
      </w:r>
    </w:p>
    <w:p w:rsidR="00005503" w:rsidRPr="00005503" w:rsidRDefault="00005503" w:rsidP="004B32CD">
      <w:pPr>
        <w:pStyle w:val="Default"/>
        <w:spacing w:line="276" w:lineRule="auto"/>
      </w:pPr>
    </w:p>
    <w:p w:rsidR="00005503" w:rsidRPr="00005503" w:rsidRDefault="00005503" w:rsidP="00FE2D95">
      <w:pPr>
        <w:spacing w:after="0"/>
        <w:jc w:val="both"/>
        <w:rPr>
          <w:color w:val="000000" w:themeColor="text1"/>
        </w:rPr>
      </w:pPr>
      <w:r w:rsidRPr="00005503">
        <w:rPr>
          <w:color w:val="000000" w:themeColor="text1"/>
        </w:rPr>
        <w:t>As and when changes to codes of practice are approved, or new codes of practice are introduced, all such changes will be approved by Cabinet.  The Highway Management Plan will also be updated, but the revised document will not be presented to Cabinet again as these already have had Cabinet approval.</w:t>
      </w:r>
    </w:p>
    <w:p w:rsidR="00005503" w:rsidRDefault="00005503" w:rsidP="00FE2D95">
      <w:pPr>
        <w:spacing w:after="0"/>
        <w:jc w:val="both"/>
        <w:rPr>
          <w:color w:val="000000" w:themeColor="text1"/>
        </w:rPr>
      </w:pPr>
    </w:p>
    <w:p w:rsidR="00CC5128" w:rsidRDefault="00CC5128" w:rsidP="00FE2D95">
      <w:pPr>
        <w:spacing w:after="0"/>
        <w:jc w:val="both"/>
        <w:rPr>
          <w:color w:val="000000" w:themeColor="text1"/>
        </w:rPr>
      </w:pPr>
    </w:p>
    <w:p w:rsidR="00CC5128" w:rsidRDefault="00CC5128" w:rsidP="00FE2D95">
      <w:pPr>
        <w:spacing w:after="0"/>
        <w:jc w:val="both"/>
        <w:rPr>
          <w:color w:val="000000" w:themeColor="text1"/>
        </w:rPr>
      </w:pPr>
    </w:p>
    <w:p w:rsidR="00CC5128" w:rsidRPr="00005503" w:rsidRDefault="00CC5128" w:rsidP="00FE2D95">
      <w:pPr>
        <w:spacing w:after="0"/>
        <w:jc w:val="both"/>
        <w:rPr>
          <w:color w:val="000000" w:themeColor="text1"/>
        </w:rPr>
      </w:pPr>
    </w:p>
    <w:p w:rsidR="00AD79CC" w:rsidRPr="0072651B" w:rsidRDefault="00AD79CC" w:rsidP="00101371">
      <w:pPr>
        <w:pStyle w:val="ListParagraph"/>
        <w:numPr>
          <w:ilvl w:val="0"/>
          <w:numId w:val="10"/>
        </w:numPr>
        <w:autoSpaceDE w:val="0"/>
        <w:autoSpaceDN w:val="0"/>
        <w:adjustRightInd w:val="0"/>
        <w:spacing w:after="0"/>
        <w:jc w:val="both"/>
        <w:rPr>
          <w:rFonts w:eastAsia="Times New Roman" w:cs="Arial"/>
          <w:b/>
          <w:bCs/>
          <w:color w:val="000000" w:themeColor="text1"/>
          <w:szCs w:val="24"/>
          <w:lang w:val="en" w:eastAsia="en-GB"/>
        </w:rPr>
      </w:pPr>
      <w:r w:rsidRPr="0072651B">
        <w:rPr>
          <w:rFonts w:eastAsia="Times New Roman" w:cs="Arial"/>
          <w:b/>
          <w:bCs/>
          <w:color w:val="000000" w:themeColor="text1"/>
          <w:szCs w:val="24"/>
          <w:lang w:val="en" w:eastAsia="en-GB"/>
        </w:rPr>
        <w:t xml:space="preserve">Revised </w:t>
      </w:r>
      <w:r w:rsidR="00F22053" w:rsidRPr="0072651B">
        <w:rPr>
          <w:rFonts w:eastAsia="Times New Roman" w:cs="Arial"/>
          <w:b/>
          <w:bCs/>
          <w:color w:val="000000" w:themeColor="text1"/>
          <w:szCs w:val="24"/>
          <w:lang w:val="en" w:eastAsia="en-GB"/>
        </w:rPr>
        <w:t>A</w:t>
      </w:r>
      <w:r w:rsidRPr="0072651B">
        <w:rPr>
          <w:rFonts w:eastAsia="Times New Roman" w:cs="Arial"/>
          <w:b/>
          <w:bCs/>
          <w:color w:val="000000" w:themeColor="text1"/>
          <w:szCs w:val="24"/>
          <w:lang w:val="en" w:eastAsia="en-GB"/>
        </w:rPr>
        <w:t xml:space="preserve">sset </w:t>
      </w:r>
      <w:r w:rsidR="00F22053" w:rsidRPr="0072651B">
        <w:rPr>
          <w:rFonts w:eastAsia="Times New Roman" w:cs="Arial"/>
          <w:b/>
          <w:bCs/>
          <w:color w:val="000000" w:themeColor="text1"/>
          <w:szCs w:val="24"/>
          <w:lang w:val="en" w:eastAsia="en-GB"/>
        </w:rPr>
        <w:t>C</w:t>
      </w:r>
      <w:r w:rsidRPr="0072651B">
        <w:rPr>
          <w:rFonts w:eastAsia="Times New Roman" w:cs="Arial"/>
          <w:b/>
          <w:bCs/>
          <w:color w:val="000000" w:themeColor="text1"/>
          <w:szCs w:val="24"/>
          <w:lang w:val="en" w:eastAsia="en-GB"/>
        </w:rPr>
        <w:t xml:space="preserve">ondition </w:t>
      </w:r>
      <w:r w:rsidR="00F22053" w:rsidRPr="0072651B">
        <w:rPr>
          <w:rFonts w:eastAsia="Times New Roman" w:cs="Arial"/>
          <w:b/>
          <w:bCs/>
          <w:color w:val="000000" w:themeColor="text1"/>
          <w:szCs w:val="24"/>
          <w:lang w:val="en" w:eastAsia="en-GB"/>
        </w:rPr>
        <w:t>D</w:t>
      </w:r>
      <w:r w:rsidRPr="0072651B">
        <w:rPr>
          <w:rFonts w:eastAsia="Times New Roman" w:cs="Arial"/>
          <w:b/>
          <w:bCs/>
          <w:color w:val="000000" w:themeColor="text1"/>
          <w:szCs w:val="24"/>
          <w:lang w:val="en" w:eastAsia="en-GB"/>
        </w:rPr>
        <w:t>ata</w:t>
      </w:r>
    </w:p>
    <w:p w:rsidR="005A2F6E" w:rsidRPr="0072651B" w:rsidRDefault="0051691F" w:rsidP="00EB5525">
      <w:pPr>
        <w:autoSpaceDE w:val="0"/>
        <w:autoSpaceDN w:val="0"/>
        <w:adjustRightInd w:val="0"/>
        <w:spacing w:after="0"/>
        <w:jc w:val="both"/>
        <w:rPr>
          <w:rFonts w:eastAsia="Times New Roman" w:cs="Arial"/>
          <w:bCs/>
          <w:color w:val="000000" w:themeColor="text1"/>
          <w:szCs w:val="24"/>
          <w:lang w:val="en" w:eastAsia="en-GB"/>
        </w:rPr>
      </w:pPr>
      <w:r w:rsidRPr="0072651B">
        <w:rPr>
          <w:rFonts w:eastAsia="Times New Roman" w:cs="Arial"/>
          <w:bCs/>
          <w:color w:val="000000" w:themeColor="text1"/>
          <w:szCs w:val="24"/>
          <w:lang w:val="en" w:eastAsia="en-GB"/>
        </w:rPr>
        <w:t>Much of the condition data contained in the T</w:t>
      </w:r>
      <w:r w:rsidR="00962088" w:rsidRPr="0072651B">
        <w:rPr>
          <w:rFonts w:eastAsia="Times New Roman" w:cs="Arial"/>
          <w:bCs/>
          <w:color w:val="000000" w:themeColor="text1"/>
          <w:szCs w:val="24"/>
          <w:lang w:val="en" w:eastAsia="en-GB"/>
        </w:rPr>
        <w:t xml:space="preserve">ransport Asset Management </w:t>
      </w:r>
      <w:r w:rsidRPr="0072651B">
        <w:rPr>
          <w:rFonts w:eastAsia="Times New Roman" w:cs="Arial"/>
          <w:bCs/>
          <w:color w:val="000000" w:themeColor="text1"/>
          <w:szCs w:val="24"/>
          <w:lang w:val="en" w:eastAsia="en-GB"/>
        </w:rPr>
        <w:t>P</w:t>
      </w:r>
      <w:r w:rsidR="00962088" w:rsidRPr="0072651B">
        <w:rPr>
          <w:rFonts w:eastAsia="Times New Roman" w:cs="Arial"/>
          <w:bCs/>
          <w:color w:val="000000" w:themeColor="text1"/>
          <w:szCs w:val="24"/>
          <w:lang w:val="en" w:eastAsia="en-GB"/>
        </w:rPr>
        <w:t>lan</w:t>
      </w:r>
      <w:r w:rsidRPr="0072651B">
        <w:rPr>
          <w:rFonts w:eastAsia="Times New Roman" w:cs="Arial"/>
          <w:bCs/>
          <w:color w:val="000000" w:themeColor="text1"/>
          <w:szCs w:val="24"/>
          <w:lang w:val="en" w:eastAsia="en-GB"/>
        </w:rPr>
        <w:t xml:space="preserve"> was compiled </w:t>
      </w:r>
      <w:r w:rsidR="00962088" w:rsidRPr="0072651B">
        <w:rPr>
          <w:rFonts w:eastAsia="Times New Roman" w:cs="Arial"/>
          <w:bCs/>
          <w:color w:val="000000" w:themeColor="text1"/>
          <w:szCs w:val="24"/>
          <w:lang w:val="en" w:eastAsia="en-GB"/>
        </w:rPr>
        <w:t xml:space="preserve">in </w:t>
      </w:r>
      <w:r w:rsidRPr="0072651B">
        <w:rPr>
          <w:rFonts w:eastAsia="Times New Roman" w:cs="Arial"/>
          <w:bCs/>
          <w:color w:val="000000" w:themeColor="text1"/>
          <w:szCs w:val="24"/>
          <w:lang w:val="en" w:eastAsia="en-GB"/>
        </w:rPr>
        <w:t>the 1</w:t>
      </w:r>
      <w:r w:rsidR="000F5FC4" w:rsidRPr="0072651B">
        <w:rPr>
          <w:rFonts w:eastAsia="Times New Roman" w:cs="Arial"/>
          <w:bCs/>
          <w:color w:val="000000" w:themeColor="text1"/>
          <w:szCs w:val="24"/>
          <w:lang w:val="en" w:eastAsia="en-GB"/>
        </w:rPr>
        <w:t>8</w:t>
      </w:r>
      <w:r w:rsidRPr="0072651B">
        <w:rPr>
          <w:rFonts w:eastAsia="Times New Roman" w:cs="Arial"/>
          <w:bCs/>
          <w:color w:val="000000" w:themeColor="text1"/>
          <w:szCs w:val="24"/>
          <w:lang w:val="en" w:eastAsia="en-GB"/>
        </w:rPr>
        <w:t xml:space="preserve"> month</w:t>
      </w:r>
      <w:r w:rsidR="00962088" w:rsidRPr="0072651B">
        <w:rPr>
          <w:rFonts w:eastAsia="Times New Roman" w:cs="Arial"/>
          <w:bCs/>
          <w:color w:val="000000" w:themeColor="text1"/>
          <w:szCs w:val="24"/>
          <w:lang w:val="en" w:eastAsia="en-GB"/>
        </w:rPr>
        <w:t xml:space="preserve"> period </w:t>
      </w:r>
      <w:r w:rsidRPr="0072651B">
        <w:rPr>
          <w:rFonts w:eastAsia="Times New Roman" w:cs="Arial"/>
          <w:bCs/>
          <w:color w:val="000000" w:themeColor="text1"/>
          <w:szCs w:val="24"/>
          <w:lang w:val="en" w:eastAsia="en-GB"/>
        </w:rPr>
        <w:t xml:space="preserve">prior to </w:t>
      </w:r>
      <w:r w:rsidR="00A40D83" w:rsidRPr="0072651B">
        <w:rPr>
          <w:rFonts w:ascii="TT5ECDAEo00" w:hAnsi="TT5ECDAEo00" w:cs="TT5ECDAEo00"/>
          <w:color w:val="000000" w:themeColor="text1"/>
          <w:szCs w:val="24"/>
        </w:rPr>
        <w:t>Cabinet Member for Highways and Transport approving the TAMP</w:t>
      </w:r>
      <w:r w:rsidR="005A2F6E" w:rsidRPr="0072651B">
        <w:rPr>
          <w:rFonts w:ascii="TT5ECDAEo00" w:hAnsi="TT5ECDAEo00" w:cs="TT5ECDAEo00"/>
          <w:color w:val="000000" w:themeColor="text1"/>
          <w:szCs w:val="24"/>
        </w:rPr>
        <w:t xml:space="preserve"> </w:t>
      </w:r>
      <w:r w:rsidR="00A80EF8">
        <w:rPr>
          <w:rFonts w:ascii="TT5ECDAEo00" w:hAnsi="TT5ECDAEo00" w:cs="TT5ECDAEo00"/>
          <w:color w:val="000000" w:themeColor="text1"/>
          <w:szCs w:val="24"/>
        </w:rPr>
        <w:t>in 201</w:t>
      </w:r>
      <w:r w:rsidR="00655AD8" w:rsidRPr="0072651B">
        <w:rPr>
          <w:rFonts w:ascii="TT5ECDAEo00" w:hAnsi="TT5ECDAEo00" w:cs="TT5ECDAEo00"/>
          <w:color w:val="000000" w:themeColor="text1"/>
          <w:szCs w:val="24"/>
        </w:rPr>
        <w:t xml:space="preserve">4 </w:t>
      </w:r>
      <w:r w:rsidR="005A2F6E" w:rsidRPr="0072651B">
        <w:rPr>
          <w:rFonts w:ascii="TT5ECDAEo00" w:hAnsi="TT5ECDAEo00" w:cs="TT5ECDAEo00"/>
          <w:color w:val="000000" w:themeColor="text1"/>
          <w:szCs w:val="24"/>
        </w:rPr>
        <w:t xml:space="preserve">and was used </w:t>
      </w:r>
      <w:r w:rsidR="00A47548" w:rsidRPr="0072651B">
        <w:rPr>
          <w:rFonts w:eastAsia="Times New Roman" w:cs="Arial"/>
          <w:bCs/>
          <w:color w:val="000000" w:themeColor="text1"/>
          <w:szCs w:val="24"/>
          <w:lang w:val="en" w:eastAsia="en-GB"/>
        </w:rPr>
        <w:t>to calculate the over</w:t>
      </w:r>
      <w:r w:rsidR="000F5FC4" w:rsidRPr="0072651B">
        <w:rPr>
          <w:rFonts w:eastAsia="Times New Roman" w:cs="Arial"/>
          <w:bCs/>
          <w:color w:val="000000" w:themeColor="text1"/>
          <w:szCs w:val="24"/>
          <w:lang w:val="en" w:eastAsia="en-GB"/>
        </w:rPr>
        <w:t>all</w:t>
      </w:r>
      <w:r w:rsidR="00A47548" w:rsidRPr="0072651B">
        <w:rPr>
          <w:rFonts w:eastAsia="Times New Roman" w:cs="Arial"/>
          <w:bCs/>
          <w:color w:val="000000" w:themeColor="text1"/>
          <w:szCs w:val="24"/>
          <w:lang w:val="en" w:eastAsia="en-GB"/>
        </w:rPr>
        <w:t xml:space="preserve"> service standard </w:t>
      </w:r>
      <w:r w:rsidR="005A2F6E" w:rsidRPr="0072651B">
        <w:rPr>
          <w:rFonts w:eastAsia="Times New Roman" w:cs="Arial"/>
          <w:bCs/>
          <w:color w:val="000000" w:themeColor="text1"/>
          <w:szCs w:val="24"/>
          <w:lang w:val="en" w:eastAsia="en-GB"/>
        </w:rPr>
        <w:t xml:space="preserve">that the transport assets were providing users </w:t>
      </w:r>
      <w:r w:rsidR="00655AD8" w:rsidRPr="0072651B">
        <w:rPr>
          <w:rFonts w:eastAsia="Times New Roman" w:cs="Arial"/>
          <w:bCs/>
          <w:color w:val="000000" w:themeColor="text1"/>
          <w:szCs w:val="24"/>
          <w:lang w:val="en" w:eastAsia="en-GB"/>
        </w:rPr>
        <w:t>at that time.</w:t>
      </w:r>
    </w:p>
    <w:p w:rsidR="005A2F6E" w:rsidRDefault="005A2F6E" w:rsidP="00EB5525">
      <w:pPr>
        <w:autoSpaceDE w:val="0"/>
        <w:autoSpaceDN w:val="0"/>
        <w:adjustRightInd w:val="0"/>
        <w:spacing w:after="0"/>
        <w:jc w:val="both"/>
        <w:rPr>
          <w:rFonts w:eastAsia="Times New Roman" w:cs="Arial"/>
          <w:bCs/>
          <w:color w:val="000000" w:themeColor="text1"/>
          <w:szCs w:val="24"/>
          <w:lang w:val="en" w:eastAsia="en-GB"/>
        </w:rPr>
      </w:pPr>
    </w:p>
    <w:p w:rsidR="0051691F" w:rsidRDefault="005A2F6E" w:rsidP="00EB5525">
      <w:pPr>
        <w:autoSpaceDE w:val="0"/>
        <w:autoSpaceDN w:val="0"/>
        <w:adjustRightInd w:val="0"/>
        <w:spacing w:after="0"/>
        <w:jc w:val="both"/>
        <w:rPr>
          <w:rFonts w:eastAsia="Times New Roman" w:cs="Arial"/>
          <w:bCs/>
          <w:color w:val="000000" w:themeColor="text1"/>
          <w:szCs w:val="24"/>
          <w:lang w:val="en" w:eastAsia="en-GB"/>
        </w:rPr>
      </w:pPr>
      <w:r w:rsidRPr="0072651B">
        <w:rPr>
          <w:rFonts w:eastAsia="Times New Roman" w:cs="Arial"/>
          <w:bCs/>
          <w:color w:val="000000" w:themeColor="text1"/>
          <w:szCs w:val="24"/>
          <w:lang w:val="en" w:eastAsia="en-GB"/>
        </w:rPr>
        <w:t>Th</w:t>
      </w:r>
      <w:r w:rsidR="00655AD8" w:rsidRPr="0072651B">
        <w:rPr>
          <w:rFonts w:eastAsia="Times New Roman" w:cs="Arial"/>
          <w:bCs/>
          <w:color w:val="000000" w:themeColor="text1"/>
          <w:szCs w:val="24"/>
          <w:lang w:val="en" w:eastAsia="en-GB"/>
        </w:rPr>
        <w:t xml:space="preserve">e </w:t>
      </w:r>
      <w:r w:rsidR="00D8136D">
        <w:rPr>
          <w:rFonts w:eastAsia="Times New Roman" w:cs="Arial"/>
          <w:bCs/>
          <w:color w:val="000000" w:themeColor="text1"/>
          <w:szCs w:val="24"/>
          <w:lang w:val="en" w:eastAsia="en-GB"/>
        </w:rPr>
        <w:t xml:space="preserve">2014 </w:t>
      </w:r>
      <w:r w:rsidR="00655AD8" w:rsidRPr="0072651B">
        <w:rPr>
          <w:rFonts w:eastAsia="Times New Roman" w:cs="Arial"/>
          <w:bCs/>
          <w:color w:val="000000" w:themeColor="text1"/>
          <w:szCs w:val="24"/>
          <w:lang w:val="en" w:eastAsia="en-GB"/>
        </w:rPr>
        <w:t xml:space="preserve">condition data </w:t>
      </w:r>
      <w:r w:rsidR="00D8136D">
        <w:rPr>
          <w:rFonts w:eastAsia="Times New Roman" w:cs="Arial"/>
          <w:bCs/>
          <w:color w:val="000000" w:themeColor="text1"/>
          <w:szCs w:val="24"/>
          <w:lang w:val="en" w:eastAsia="en-GB"/>
        </w:rPr>
        <w:t xml:space="preserve">contained </w:t>
      </w:r>
      <w:r w:rsidR="00655AD8" w:rsidRPr="0072651B">
        <w:rPr>
          <w:rFonts w:eastAsia="Times New Roman" w:cs="Arial"/>
          <w:bCs/>
          <w:color w:val="000000" w:themeColor="text1"/>
          <w:szCs w:val="24"/>
          <w:lang w:val="en" w:eastAsia="en-GB"/>
        </w:rPr>
        <w:t xml:space="preserve">in the original TAMP </w:t>
      </w:r>
      <w:r w:rsidRPr="0072651B">
        <w:rPr>
          <w:rFonts w:eastAsia="Times New Roman" w:cs="Arial"/>
          <w:bCs/>
          <w:color w:val="000000" w:themeColor="text1"/>
          <w:szCs w:val="24"/>
          <w:lang w:val="en" w:eastAsia="en-GB"/>
        </w:rPr>
        <w:t xml:space="preserve">is now updated </w:t>
      </w:r>
      <w:r w:rsidR="00655AD8" w:rsidRPr="0072651B">
        <w:rPr>
          <w:rFonts w:eastAsia="Times New Roman" w:cs="Arial"/>
          <w:bCs/>
          <w:color w:val="000000" w:themeColor="text1"/>
          <w:szCs w:val="24"/>
          <w:lang w:val="en" w:eastAsia="en-GB"/>
        </w:rPr>
        <w:t xml:space="preserve">and reported to </w:t>
      </w:r>
      <w:r w:rsidR="00655AD8" w:rsidRPr="00D24A54">
        <w:rPr>
          <w:rFonts w:eastAsia="Times New Roman" w:cs="Arial"/>
          <w:bCs/>
          <w:color w:val="000000" w:themeColor="text1"/>
          <w:szCs w:val="24"/>
          <w:lang w:val="en" w:eastAsia="en-GB"/>
        </w:rPr>
        <w:t>members of the Scrutiny Committee on an annual basis.  Comparing</w:t>
      </w:r>
      <w:r w:rsidR="00655AD8" w:rsidRPr="0072651B">
        <w:rPr>
          <w:rFonts w:eastAsia="Times New Roman" w:cs="Arial"/>
          <w:bCs/>
          <w:color w:val="000000" w:themeColor="text1"/>
          <w:szCs w:val="24"/>
          <w:lang w:val="en" w:eastAsia="en-GB"/>
        </w:rPr>
        <w:t xml:space="preserve"> our latest condition data to the 2014 baseline data</w:t>
      </w:r>
      <w:r w:rsidR="00D8136D">
        <w:rPr>
          <w:rFonts w:eastAsia="Times New Roman" w:cs="Arial"/>
          <w:bCs/>
          <w:color w:val="000000" w:themeColor="text1"/>
          <w:szCs w:val="24"/>
          <w:lang w:val="en" w:eastAsia="en-GB"/>
        </w:rPr>
        <w:t xml:space="preserve">, where a change of inventory system permits, </w:t>
      </w:r>
      <w:r w:rsidR="00655AD8" w:rsidRPr="0072651B">
        <w:rPr>
          <w:rFonts w:eastAsia="Times New Roman" w:cs="Arial"/>
          <w:bCs/>
          <w:color w:val="000000" w:themeColor="text1"/>
          <w:szCs w:val="24"/>
          <w:lang w:val="en" w:eastAsia="en-GB"/>
        </w:rPr>
        <w:t>enables o</w:t>
      </w:r>
      <w:r w:rsidR="000F5FC4" w:rsidRPr="0072651B">
        <w:rPr>
          <w:rFonts w:eastAsia="Times New Roman" w:cs="Arial"/>
          <w:bCs/>
          <w:color w:val="000000" w:themeColor="text1"/>
          <w:szCs w:val="24"/>
          <w:lang w:val="en" w:eastAsia="en-GB"/>
        </w:rPr>
        <w:t xml:space="preserve">ur </w:t>
      </w:r>
      <w:r w:rsidR="00D8136D">
        <w:rPr>
          <w:rFonts w:eastAsia="Times New Roman" w:cs="Arial"/>
          <w:bCs/>
          <w:color w:val="000000" w:themeColor="text1"/>
          <w:szCs w:val="24"/>
          <w:lang w:val="en" w:eastAsia="en-GB"/>
        </w:rPr>
        <w:t xml:space="preserve">on-going </w:t>
      </w:r>
      <w:r w:rsidR="003B690F" w:rsidRPr="0072651B">
        <w:rPr>
          <w:rFonts w:eastAsia="Times New Roman" w:cs="Arial"/>
          <w:bCs/>
          <w:color w:val="000000" w:themeColor="text1"/>
          <w:szCs w:val="24"/>
          <w:lang w:val="en" w:eastAsia="en-GB"/>
        </w:rPr>
        <w:t xml:space="preserve">performance </w:t>
      </w:r>
      <w:r w:rsidR="00D8136D">
        <w:rPr>
          <w:rFonts w:eastAsia="Times New Roman" w:cs="Arial"/>
          <w:bCs/>
          <w:color w:val="000000" w:themeColor="text1"/>
          <w:szCs w:val="24"/>
          <w:lang w:val="en" w:eastAsia="en-GB"/>
        </w:rPr>
        <w:t>to</w:t>
      </w:r>
      <w:r w:rsidR="003B690F" w:rsidRPr="0072651B">
        <w:rPr>
          <w:rFonts w:eastAsia="Times New Roman" w:cs="Arial"/>
          <w:bCs/>
          <w:color w:val="000000" w:themeColor="text1"/>
          <w:szCs w:val="24"/>
          <w:lang w:val="en" w:eastAsia="en-GB"/>
        </w:rPr>
        <w:t xml:space="preserve"> be measured</w:t>
      </w:r>
      <w:r w:rsidR="00D8136D">
        <w:rPr>
          <w:rFonts w:eastAsia="Times New Roman" w:cs="Arial"/>
          <w:bCs/>
          <w:color w:val="000000" w:themeColor="text1"/>
          <w:szCs w:val="24"/>
          <w:lang w:val="en" w:eastAsia="en-GB"/>
        </w:rPr>
        <w:t xml:space="preserve"> and monitored.</w:t>
      </w:r>
    </w:p>
    <w:p w:rsidR="00D8136D" w:rsidRDefault="00D8136D" w:rsidP="003B690F">
      <w:pPr>
        <w:spacing w:after="0"/>
        <w:jc w:val="both"/>
        <w:rPr>
          <w:color w:val="000000" w:themeColor="text1"/>
        </w:rPr>
      </w:pPr>
    </w:p>
    <w:p w:rsidR="003B690F" w:rsidRPr="0072651B" w:rsidRDefault="003B690F" w:rsidP="003B690F">
      <w:pPr>
        <w:spacing w:after="0"/>
        <w:jc w:val="both"/>
        <w:rPr>
          <w:color w:val="000000" w:themeColor="text1"/>
        </w:rPr>
      </w:pPr>
      <w:r w:rsidRPr="0072651B">
        <w:rPr>
          <w:color w:val="000000" w:themeColor="text1"/>
        </w:rPr>
        <w:t>The following pages provide a brief summary of the condition of each of the asset groups covered by th</w:t>
      </w:r>
      <w:r w:rsidR="001D65E5" w:rsidRPr="0072651B">
        <w:rPr>
          <w:color w:val="000000" w:themeColor="text1"/>
        </w:rPr>
        <w:t xml:space="preserve">e </w:t>
      </w:r>
      <w:r w:rsidRPr="0072651B">
        <w:rPr>
          <w:color w:val="000000" w:themeColor="text1"/>
        </w:rPr>
        <w:t>TAMP together with a summary of the main points arising out of our analysis of each group.</w:t>
      </w:r>
    </w:p>
    <w:p w:rsidR="007474BF" w:rsidRPr="0072651B" w:rsidRDefault="007474BF" w:rsidP="003B690F">
      <w:pPr>
        <w:spacing w:after="0"/>
        <w:jc w:val="both"/>
        <w:rPr>
          <w:color w:val="000000" w:themeColor="text1"/>
        </w:rPr>
      </w:pPr>
    </w:p>
    <w:p w:rsidR="00A47548" w:rsidRPr="0072651B" w:rsidRDefault="003B690F" w:rsidP="003B690F">
      <w:pPr>
        <w:spacing w:after="0"/>
        <w:jc w:val="both"/>
        <w:rPr>
          <w:color w:val="000000" w:themeColor="text1"/>
        </w:rPr>
      </w:pPr>
      <w:r w:rsidRPr="0072651B">
        <w:rPr>
          <w:color w:val="000000" w:themeColor="text1"/>
        </w:rPr>
        <w:t xml:space="preserve">Each section follows a similar basic structure.  </w:t>
      </w:r>
      <w:r w:rsidR="00B57F20" w:rsidRPr="0072651B">
        <w:rPr>
          <w:color w:val="000000" w:themeColor="text1"/>
        </w:rPr>
        <w:t xml:space="preserve">Where possible </w:t>
      </w:r>
      <w:r w:rsidRPr="0072651B">
        <w:rPr>
          <w:color w:val="000000" w:themeColor="text1"/>
        </w:rPr>
        <w:t>graph</w:t>
      </w:r>
      <w:r w:rsidR="00B57F20" w:rsidRPr="0072651B">
        <w:rPr>
          <w:color w:val="000000" w:themeColor="text1"/>
        </w:rPr>
        <w:t>s will show simultaneously 2014 and 201</w:t>
      </w:r>
      <w:r w:rsidR="00C4081B">
        <w:rPr>
          <w:color w:val="000000" w:themeColor="text1"/>
        </w:rPr>
        <w:t>7</w:t>
      </w:r>
      <w:r w:rsidR="00B57F20" w:rsidRPr="0072651B">
        <w:rPr>
          <w:color w:val="000000" w:themeColor="text1"/>
        </w:rPr>
        <w:t xml:space="preserve"> data.  Where this isn’t possible, two separate graphs will be provided to show </w:t>
      </w:r>
      <w:r w:rsidRPr="0072651B">
        <w:rPr>
          <w:color w:val="000000" w:themeColor="text1"/>
        </w:rPr>
        <w:t>the relative condition of the asset on a district by district basis</w:t>
      </w:r>
      <w:r w:rsidR="00A47548" w:rsidRPr="0072651B">
        <w:rPr>
          <w:color w:val="000000" w:themeColor="text1"/>
        </w:rPr>
        <w:t xml:space="preserve"> for both </w:t>
      </w:r>
      <w:r w:rsidR="00A80EF8">
        <w:rPr>
          <w:color w:val="000000" w:themeColor="text1"/>
        </w:rPr>
        <w:t>years</w:t>
      </w:r>
      <w:r w:rsidR="00A47548" w:rsidRPr="0072651B">
        <w:rPr>
          <w:color w:val="000000" w:themeColor="text1"/>
        </w:rPr>
        <w:t xml:space="preserve"> so that year on year comparisons can be made.</w:t>
      </w:r>
    </w:p>
    <w:p w:rsidR="00A47548" w:rsidRPr="0072651B" w:rsidRDefault="00A47548" w:rsidP="003B690F">
      <w:pPr>
        <w:spacing w:after="0"/>
        <w:jc w:val="both"/>
        <w:rPr>
          <w:color w:val="000000" w:themeColor="text1"/>
        </w:rPr>
      </w:pPr>
    </w:p>
    <w:p w:rsidR="003B690F" w:rsidRPr="0072651B" w:rsidRDefault="003B690F" w:rsidP="003B690F">
      <w:pPr>
        <w:spacing w:after="0"/>
        <w:jc w:val="both"/>
        <w:rPr>
          <w:color w:val="000000" w:themeColor="text1"/>
        </w:rPr>
      </w:pPr>
      <w:r w:rsidRPr="0072651B">
        <w:rPr>
          <w:color w:val="000000" w:themeColor="text1"/>
        </w:rPr>
        <w:t xml:space="preserve">A summary provides key bullet points which seek to outline briefly the key facts relating to the category of the asset.  </w:t>
      </w:r>
      <w:r w:rsidR="001518E3">
        <w:rPr>
          <w:color w:val="000000" w:themeColor="text1"/>
        </w:rPr>
        <w:t xml:space="preserve">Typically </w:t>
      </w:r>
      <w:r w:rsidRPr="0072651B">
        <w:rPr>
          <w:color w:val="000000" w:themeColor="text1"/>
        </w:rPr>
        <w:t>information presented includes:</w:t>
      </w:r>
    </w:p>
    <w:p w:rsidR="003B690F" w:rsidRPr="0072651B" w:rsidRDefault="003B690F" w:rsidP="003B690F">
      <w:pPr>
        <w:spacing w:after="0"/>
        <w:jc w:val="both"/>
        <w:rPr>
          <w:color w:val="000000" w:themeColor="text1"/>
        </w:rPr>
      </w:pPr>
    </w:p>
    <w:p w:rsidR="003B690F" w:rsidRPr="0072651B" w:rsidRDefault="003B690F" w:rsidP="003B690F">
      <w:pPr>
        <w:pStyle w:val="ListParagraph"/>
        <w:numPr>
          <w:ilvl w:val="0"/>
          <w:numId w:val="3"/>
        </w:numPr>
        <w:spacing w:after="0"/>
        <w:jc w:val="both"/>
        <w:rPr>
          <w:color w:val="000000" w:themeColor="text1"/>
        </w:rPr>
      </w:pPr>
      <w:r w:rsidRPr="0072651B">
        <w:rPr>
          <w:color w:val="000000" w:themeColor="text1"/>
        </w:rPr>
        <w:t>How much of the asset we responsible for,</w:t>
      </w:r>
    </w:p>
    <w:p w:rsidR="003B690F" w:rsidRPr="0072651B" w:rsidRDefault="003B690F" w:rsidP="003B690F">
      <w:pPr>
        <w:pStyle w:val="ListParagraph"/>
        <w:numPr>
          <w:ilvl w:val="0"/>
          <w:numId w:val="3"/>
        </w:numPr>
        <w:spacing w:after="0"/>
        <w:jc w:val="both"/>
        <w:rPr>
          <w:color w:val="000000" w:themeColor="text1"/>
        </w:rPr>
      </w:pPr>
      <w:r w:rsidRPr="0072651B">
        <w:rPr>
          <w:color w:val="000000" w:themeColor="text1"/>
        </w:rPr>
        <w:t>How the condition of the asset is assessed,</w:t>
      </w:r>
    </w:p>
    <w:p w:rsidR="003B690F" w:rsidRPr="0072651B" w:rsidRDefault="003B690F" w:rsidP="003B690F">
      <w:pPr>
        <w:pStyle w:val="ListParagraph"/>
        <w:numPr>
          <w:ilvl w:val="0"/>
          <w:numId w:val="3"/>
        </w:numPr>
        <w:spacing w:after="0"/>
        <w:jc w:val="both"/>
        <w:rPr>
          <w:color w:val="000000" w:themeColor="text1"/>
        </w:rPr>
      </w:pPr>
      <w:r w:rsidRPr="0072651B">
        <w:rPr>
          <w:color w:val="000000" w:themeColor="text1"/>
        </w:rPr>
        <w:t>If there any gaps in the information we currently hold,</w:t>
      </w:r>
    </w:p>
    <w:p w:rsidR="003B690F" w:rsidRPr="0072651B" w:rsidRDefault="003B690F" w:rsidP="003B690F">
      <w:pPr>
        <w:pStyle w:val="ListParagraph"/>
        <w:numPr>
          <w:ilvl w:val="0"/>
          <w:numId w:val="3"/>
        </w:numPr>
        <w:spacing w:after="0"/>
        <w:jc w:val="both"/>
        <w:rPr>
          <w:color w:val="000000" w:themeColor="text1"/>
        </w:rPr>
      </w:pPr>
      <w:r w:rsidRPr="0072651B">
        <w:rPr>
          <w:color w:val="000000" w:themeColor="text1"/>
        </w:rPr>
        <w:t>The average condition of the asset in 201</w:t>
      </w:r>
      <w:r w:rsidR="00BE3E2D">
        <w:rPr>
          <w:color w:val="000000" w:themeColor="text1"/>
        </w:rPr>
        <w:t>4</w:t>
      </w:r>
      <w:r w:rsidR="001D65E5" w:rsidRPr="0072651B">
        <w:rPr>
          <w:color w:val="000000" w:themeColor="text1"/>
        </w:rPr>
        <w:t xml:space="preserve"> and </w:t>
      </w:r>
      <w:r w:rsidR="00BE3E2D">
        <w:rPr>
          <w:color w:val="000000" w:themeColor="text1"/>
        </w:rPr>
        <w:t>2016</w:t>
      </w:r>
      <w:r w:rsidRPr="0072651B">
        <w:rPr>
          <w:color w:val="000000" w:themeColor="text1"/>
        </w:rPr>
        <w:t>,</w:t>
      </w:r>
    </w:p>
    <w:p w:rsidR="003B690F" w:rsidRPr="0072651B" w:rsidRDefault="003B690F" w:rsidP="003B690F">
      <w:pPr>
        <w:pStyle w:val="ListParagraph"/>
        <w:numPr>
          <w:ilvl w:val="0"/>
          <w:numId w:val="3"/>
        </w:numPr>
        <w:spacing w:after="0"/>
        <w:jc w:val="both"/>
        <w:rPr>
          <w:color w:val="000000" w:themeColor="text1"/>
        </w:rPr>
      </w:pPr>
      <w:r w:rsidRPr="0072651B">
        <w:rPr>
          <w:color w:val="000000" w:themeColor="text1"/>
        </w:rPr>
        <w:t>How much financial resource has, on average, been available in recent years;</w:t>
      </w:r>
    </w:p>
    <w:p w:rsidR="00457FD1" w:rsidRPr="006B423B" w:rsidRDefault="00457FD1" w:rsidP="00832AEC">
      <w:pPr>
        <w:spacing w:after="0"/>
        <w:jc w:val="both"/>
        <w:rPr>
          <w:color w:val="000000" w:themeColor="text1"/>
        </w:rPr>
      </w:pPr>
    </w:p>
    <w:p w:rsidR="008C587C" w:rsidRPr="006B423B" w:rsidRDefault="008C587C" w:rsidP="00832AEC">
      <w:pPr>
        <w:spacing w:after="0"/>
        <w:jc w:val="both"/>
        <w:rPr>
          <w:color w:val="000000" w:themeColor="text1"/>
        </w:rPr>
      </w:pPr>
    </w:p>
    <w:p w:rsidR="008C587C" w:rsidRPr="006B423B" w:rsidRDefault="008C587C" w:rsidP="00832AEC">
      <w:pPr>
        <w:spacing w:after="0"/>
        <w:jc w:val="both"/>
        <w:rPr>
          <w:color w:val="000000" w:themeColor="text1"/>
        </w:rPr>
      </w:pPr>
    </w:p>
    <w:p w:rsidR="006B423B" w:rsidRPr="006B423B" w:rsidRDefault="006B423B" w:rsidP="00832AEC">
      <w:pPr>
        <w:spacing w:after="0"/>
        <w:jc w:val="both"/>
        <w:rPr>
          <w:color w:val="000000" w:themeColor="text1"/>
        </w:rPr>
      </w:pPr>
    </w:p>
    <w:p w:rsidR="006B423B" w:rsidRPr="006B423B" w:rsidRDefault="006B423B" w:rsidP="00832AEC">
      <w:pPr>
        <w:spacing w:after="0"/>
        <w:jc w:val="both"/>
        <w:rPr>
          <w:color w:val="000000" w:themeColor="text1"/>
        </w:rPr>
      </w:pPr>
    </w:p>
    <w:p w:rsidR="006B423B" w:rsidRPr="006B423B" w:rsidRDefault="006B423B" w:rsidP="00832AEC">
      <w:pPr>
        <w:spacing w:after="0"/>
        <w:jc w:val="both"/>
        <w:rPr>
          <w:color w:val="000000" w:themeColor="text1"/>
        </w:rPr>
      </w:pPr>
    </w:p>
    <w:p w:rsidR="006B423B" w:rsidRPr="006B423B" w:rsidRDefault="006B423B" w:rsidP="00832AEC">
      <w:pPr>
        <w:spacing w:after="0"/>
        <w:jc w:val="both"/>
        <w:rPr>
          <w:color w:val="000000" w:themeColor="text1"/>
        </w:rPr>
      </w:pPr>
    </w:p>
    <w:p w:rsidR="006B423B" w:rsidRPr="006B423B" w:rsidRDefault="006B423B" w:rsidP="00832AEC">
      <w:pPr>
        <w:spacing w:after="0"/>
        <w:jc w:val="both"/>
        <w:rPr>
          <w:color w:val="000000" w:themeColor="text1"/>
        </w:rPr>
      </w:pPr>
    </w:p>
    <w:p w:rsidR="00457FD1" w:rsidRPr="006B423B" w:rsidRDefault="00457FD1" w:rsidP="00832AEC">
      <w:pPr>
        <w:spacing w:after="0"/>
        <w:jc w:val="both"/>
        <w:rPr>
          <w:color w:val="000000" w:themeColor="text1"/>
        </w:rPr>
      </w:pPr>
    </w:p>
    <w:p w:rsidR="00457FD1" w:rsidRDefault="00457FD1" w:rsidP="00832AEC">
      <w:pPr>
        <w:spacing w:after="0"/>
        <w:jc w:val="both"/>
        <w:rPr>
          <w:color w:val="000000" w:themeColor="text1"/>
        </w:rPr>
      </w:pPr>
    </w:p>
    <w:p w:rsidR="00CC5128" w:rsidRDefault="00CC5128" w:rsidP="00832AEC">
      <w:pPr>
        <w:spacing w:after="0"/>
        <w:jc w:val="both"/>
        <w:rPr>
          <w:color w:val="000000" w:themeColor="text1"/>
        </w:rPr>
      </w:pPr>
    </w:p>
    <w:p w:rsidR="00CC5128" w:rsidRDefault="00CC5128" w:rsidP="00832AEC">
      <w:pPr>
        <w:spacing w:after="0"/>
        <w:jc w:val="both"/>
        <w:rPr>
          <w:color w:val="000000" w:themeColor="text1"/>
        </w:rPr>
      </w:pPr>
    </w:p>
    <w:p w:rsidR="00CC5128" w:rsidRDefault="00CC5128" w:rsidP="00832AEC">
      <w:pPr>
        <w:spacing w:after="0"/>
        <w:jc w:val="both"/>
        <w:rPr>
          <w:color w:val="000000" w:themeColor="text1"/>
        </w:rPr>
      </w:pPr>
    </w:p>
    <w:p w:rsidR="00CC5128" w:rsidRDefault="00CC5128" w:rsidP="00832AEC">
      <w:pPr>
        <w:spacing w:after="0"/>
        <w:jc w:val="both"/>
        <w:rPr>
          <w:color w:val="000000" w:themeColor="text1"/>
        </w:rPr>
      </w:pPr>
    </w:p>
    <w:p w:rsidR="00CC5128" w:rsidRPr="006B423B" w:rsidRDefault="00CC5128" w:rsidP="00832AEC">
      <w:pPr>
        <w:spacing w:after="0"/>
        <w:jc w:val="both"/>
        <w:rPr>
          <w:color w:val="000000" w:themeColor="text1"/>
        </w:rPr>
      </w:pPr>
    </w:p>
    <w:p w:rsidR="00457FD1" w:rsidRPr="006B423B" w:rsidRDefault="00457FD1" w:rsidP="00832AEC">
      <w:pPr>
        <w:spacing w:after="0"/>
        <w:jc w:val="both"/>
        <w:rPr>
          <w:color w:val="000000" w:themeColor="text1"/>
        </w:rPr>
      </w:pPr>
    </w:p>
    <w:p w:rsidR="00AF1DC3" w:rsidRDefault="00AF1DC3" w:rsidP="00832AEC">
      <w:pPr>
        <w:spacing w:after="0"/>
        <w:jc w:val="both"/>
        <w:rPr>
          <w:b/>
          <w:color w:val="000000" w:themeColor="text1"/>
        </w:rPr>
        <w:sectPr w:rsidR="00AF1DC3" w:rsidSect="00276C92">
          <w:pgSz w:w="16838" w:h="11906" w:orient="landscape"/>
          <w:pgMar w:top="1134" w:right="1134" w:bottom="1134" w:left="1134" w:header="709" w:footer="709" w:gutter="0"/>
          <w:cols w:num="2" w:space="708"/>
          <w:docGrid w:linePitch="360"/>
        </w:sectPr>
      </w:pPr>
    </w:p>
    <w:p w:rsidR="00B73A1A" w:rsidRDefault="00B73A1A" w:rsidP="00522728">
      <w:pPr>
        <w:rPr>
          <w:b/>
        </w:rPr>
      </w:pPr>
    </w:p>
    <w:p w:rsidR="00837613" w:rsidRDefault="00522728" w:rsidP="00522728">
      <w:pPr>
        <w:rPr>
          <w:color w:val="000000" w:themeColor="text1"/>
        </w:rPr>
      </w:pPr>
      <w:r w:rsidRPr="00640D2F">
        <w:rPr>
          <w:b/>
        </w:rPr>
        <w:t>A</w:t>
      </w:r>
      <w:r>
        <w:rPr>
          <w:b/>
        </w:rPr>
        <w:t>,</w:t>
      </w:r>
      <w:r w:rsidRPr="00640D2F">
        <w:rPr>
          <w:b/>
        </w:rPr>
        <w:t xml:space="preserve"> B and C Roads </w:t>
      </w:r>
    </w:p>
    <w:p w:rsidR="005B110B" w:rsidRDefault="005B110B" w:rsidP="003650E6">
      <w:pPr>
        <w:spacing w:after="0"/>
        <w:rPr>
          <w:b/>
          <w:color w:val="FF0000"/>
        </w:rPr>
        <w:sectPr w:rsidR="005B110B" w:rsidSect="005933CD">
          <w:type w:val="continuous"/>
          <w:pgSz w:w="16838" w:h="11906" w:orient="landscape"/>
          <w:pgMar w:top="1134" w:right="1134" w:bottom="1134" w:left="1134" w:header="709" w:footer="709" w:gutter="0"/>
          <w:cols w:space="708"/>
          <w:docGrid w:linePitch="360"/>
        </w:sectPr>
      </w:pPr>
    </w:p>
    <w:p w:rsidR="00732C6E" w:rsidRDefault="00732C6E" w:rsidP="0097473B">
      <w:pPr>
        <w:rPr>
          <w:b/>
          <w:sz w:val="22"/>
        </w:rPr>
      </w:pPr>
      <w:r>
        <w:rPr>
          <w:b/>
        </w:rPr>
        <w:t xml:space="preserve">Most Cost Effective Strategy: </w:t>
      </w:r>
      <w:r w:rsidRPr="0055388A">
        <w:rPr>
          <w:b/>
          <w:sz w:val="22"/>
        </w:rPr>
        <w:t xml:space="preserve">Investment in </w:t>
      </w:r>
      <w:r w:rsidR="008826FB">
        <w:rPr>
          <w:b/>
          <w:sz w:val="22"/>
        </w:rPr>
        <w:t>preventative</w:t>
      </w:r>
      <w:r w:rsidRPr="0055388A">
        <w:rPr>
          <w:b/>
          <w:sz w:val="22"/>
        </w:rPr>
        <w:t xml:space="preserve"> maintenance </w:t>
      </w:r>
      <w:r>
        <w:rPr>
          <w:b/>
          <w:sz w:val="22"/>
        </w:rPr>
        <w:t xml:space="preserve">using </w:t>
      </w:r>
      <w:r w:rsidRPr="0055388A">
        <w:rPr>
          <w:b/>
          <w:sz w:val="22"/>
        </w:rPr>
        <w:t>appropriate surface treatment</w:t>
      </w:r>
      <w:r>
        <w:rPr>
          <w:b/>
          <w:sz w:val="22"/>
        </w:rPr>
        <w:t>s determined through deterioration modelling.</w:t>
      </w:r>
    </w:p>
    <w:p w:rsidR="00E742C0" w:rsidRDefault="008C2EDA" w:rsidP="00732C6E">
      <w:pPr>
        <w:jc w:val="both"/>
        <w:rPr>
          <w:b/>
          <w:sz w:val="22"/>
        </w:rPr>
      </w:pPr>
      <w:r>
        <w:rPr>
          <w:noProof/>
          <w:lang w:eastAsia="en-GB"/>
        </w:rPr>
        <w:drawing>
          <wp:inline distT="0" distB="0" distL="0" distR="0" wp14:anchorId="10BAEA85" wp14:editId="06DF11E3">
            <wp:extent cx="9124950" cy="45339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42C0" w:rsidRDefault="00B03474" w:rsidP="00732C6E">
      <w:pPr>
        <w:jc w:val="both"/>
        <w:rPr>
          <w:b/>
          <w:sz w:val="22"/>
        </w:rPr>
      </w:pPr>
      <w:r>
        <w:rPr>
          <w:noProof/>
          <w:lang w:eastAsia="en-GB"/>
        </w:rPr>
        <w:drawing>
          <wp:inline distT="0" distB="0" distL="0" distR="0" wp14:anchorId="1F772DCD" wp14:editId="34DB40A0">
            <wp:extent cx="9251950" cy="6041390"/>
            <wp:effectExtent l="0" t="0" r="635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5BEC" w:rsidRDefault="00B03474" w:rsidP="00732C6E">
      <w:pPr>
        <w:jc w:val="both"/>
        <w:rPr>
          <w:b/>
          <w:sz w:val="22"/>
        </w:rPr>
      </w:pPr>
      <w:r>
        <w:rPr>
          <w:noProof/>
          <w:lang w:eastAsia="en-GB"/>
        </w:rPr>
        <w:drawing>
          <wp:inline distT="0" distB="0" distL="0" distR="0" wp14:anchorId="71FEF338" wp14:editId="0FBB95A9">
            <wp:extent cx="9239250" cy="3549650"/>
            <wp:effectExtent l="0" t="0" r="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8556B" w:rsidRDefault="00D32AF2" w:rsidP="001664EC">
      <w:pPr>
        <w:spacing w:after="0"/>
        <w:jc w:val="both"/>
        <w:rPr>
          <w:b/>
          <w:sz w:val="22"/>
        </w:rPr>
      </w:pPr>
      <w:r>
        <w:rPr>
          <w:b/>
          <w:sz w:val="22"/>
        </w:rPr>
        <w:t>Summary</w:t>
      </w:r>
    </w:p>
    <w:p w:rsidR="00D32AF2" w:rsidRDefault="00D32AF2" w:rsidP="00732C6E">
      <w:pPr>
        <w:pStyle w:val="ListParagraph"/>
        <w:numPr>
          <w:ilvl w:val="0"/>
          <w:numId w:val="1"/>
        </w:numPr>
        <w:ind w:left="357" w:hanging="357"/>
        <w:jc w:val="both"/>
        <w:rPr>
          <w:sz w:val="22"/>
        </w:rPr>
        <w:sectPr w:rsidR="00D32AF2" w:rsidSect="00F8556B">
          <w:type w:val="continuous"/>
          <w:pgSz w:w="16838" w:h="11906" w:orient="landscape"/>
          <w:pgMar w:top="1134" w:right="1134" w:bottom="1134" w:left="1134" w:header="709" w:footer="709" w:gutter="0"/>
          <w:cols w:space="708"/>
          <w:docGrid w:linePitch="360"/>
        </w:sectPr>
      </w:pPr>
    </w:p>
    <w:p w:rsidR="00874A0C" w:rsidRPr="00A92668" w:rsidRDefault="00874A0C" w:rsidP="00874A0C">
      <w:pPr>
        <w:pStyle w:val="ListParagraph"/>
        <w:numPr>
          <w:ilvl w:val="0"/>
          <w:numId w:val="1"/>
        </w:numPr>
        <w:spacing w:after="0"/>
        <w:ind w:left="357" w:hanging="357"/>
        <w:jc w:val="both"/>
        <w:rPr>
          <w:sz w:val="22"/>
        </w:rPr>
      </w:pPr>
      <w:r w:rsidRPr="00A92668">
        <w:rPr>
          <w:sz w:val="22"/>
        </w:rPr>
        <w:t>The asset consists of a total of approx. 2,583km of highway,</w:t>
      </w:r>
    </w:p>
    <w:p w:rsidR="00874A0C" w:rsidRPr="00A92668" w:rsidRDefault="00874A0C" w:rsidP="00874A0C">
      <w:pPr>
        <w:pStyle w:val="ListParagraph"/>
        <w:numPr>
          <w:ilvl w:val="0"/>
          <w:numId w:val="1"/>
        </w:numPr>
        <w:spacing w:after="0"/>
        <w:ind w:left="357" w:hanging="357"/>
        <w:jc w:val="both"/>
        <w:rPr>
          <w:sz w:val="22"/>
        </w:rPr>
      </w:pPr>
      <w:r w:rsidRPr="00A92668">
        <w:rPr>
          <w:sz w:val="22"/>
        </w:rPr>
        <w:t>The length of A, B and C roads classified as RED or AMBER in 2014 was in the region of 1,179 km.  According to the May 2018 SCANNER survey the quantity of RED or AMBER has now reduced down to 762km, a reduction of 416 km (35%),</w:t>
      </w:r>
    </w:p>
    <w:p w:rsidR="00874A0C" w:rsidRDefault="00874A0C" w:rsidP="00874A0C">
      <w:pPr>
        <w:pStyle w:val="ListParagraph"/>
        <w:numPr>
          <w:ilvl w:val="0"/>
          <w:numId w:val="1"/>
        </w:numPr>
        <w:spacing w:after="0"/>
        <w:ind w:left="357" w:hanging="357"/>
        <w:jc w:val="both"/>
        <w:rPr>
          <w:sz w:val="22"/>
        </w:rPr>
      </w:pPr>
      <w:r w:rsidRPr="00A92668">
        <w:rPr>
          <w:sz w:val="22"/>
        </w:rPr>
        <w:t>According to SCANNER data the overall condition of the A, B and C road network in all districts are now better than their 2009 condition,</w:t>
      </w:r>
    </w:p>
    <w:p w:rsidR="00874A0C" w:rsidRDefault="00874A0C" w:rsidP="00874A0C">
      <w:pPr>
        <w:spacing w:after="0"/>
        <w:jc w:val="both"/>
        <w:rPr>
          <w:sz w:val="22"/>
        </w:rPr>
      </w:pPr>
    </w:p>
    <w:p w:rsidR="00874A0C" w:rsidRPr="00874A0C" w:rsidRDefault="00874A0C" w:rsidP="00874A0C">
      <w:pPr>
        <w:spacing w:after="0"/>
        <w:jc w:val="both"/>
        <w:rPr>
          <w:sz w:val="22"/>
        </w:rPr>
      </w:pPr>
    </w:p>
    <w:p w:rsidR="00874A0C" w:rsidRPr="00A92668" w:rsidRDefault="00874A0C" w:rsidP="00874A0C">
      <w:pPr>
        <w:pStyle w:val="ListParagraph"/>
        <w:numPr>
          <w:ilvl w:val="0"/>
          <w:numId w:val="1"/>
        </w:numPr>
        <w:spacing w:after="0"/>
        <w:ind w:left="357" w:hanging="357"/>
        <w:jc w:val="both"/>
        <w:rPr>
          <w:rFonts w:cs="Arial"/>
          <w:b/>
          <w:sz w:val="22"/>
        </w:rPr>
      </w:pPr>
      <w:r w:rsidRPr="00A92668">
        <w:rPr>
          <w:rFonts w:cs="Arial"/>
          <w:sz w:val="22"/>
        </w:rPr>
        <w:t>Between 2014 and 2018 the average % of RED or AMBER on :-</w:t>
      </w:r>
    </w:p>
    <w:p w:rsidR="00874A0C" w:rsidRPr="00A92668" w:rsidRDefault="00874A0C" w:rsidP="00874A0C">
      <w:pPr>
        <w:pStyle w:val="ListParagraph"/>
        <w:numPr>
          <w:ilvl w:val="1"/>
          <w:numId w:val="1"/>
        </w:numPr>
        <w:spacing w:after="0"/>
        <w:ind w:left="924" w:hanging="357"/>
        <w:jc w:val="both"/>
        <w:rPr>
          <w:rFonts w:cs="Arial"/>
          <w:b/>
          <w:sz w:val="22"/>
        </w:rPr>
      </w:pPr>
      <w:r w:rsidRPr="00A92668">
        <w:rPr>
          <w:rFonts w:cs="Arial"/>
          <w:sz w:val="22"/>
        </w:rPr>
        <w:t>A roads reduced by 26% (64km)</w:t>
      </w:r>
    </w:p>
    <w:p w:rsidR="00874A0C" w:rsidRPr="00A92668" w:rsidRDefault="00874A0C" w:rsidP="00874A0C">
      <w:pPr>
        <w:pStyle w:val="ListParagraph"/>
        <w:numPr>
          <w:ilvl w:val="1"/>
          <w:numId w:val="1"/>
        </w:numPr>
        <w:spacing w:after="0"/>
        <w:ind w:left="924" w:hanging="357"/>
        <w:jc w:val="both"/>
        <w:rPr>
          <w:rFonts w:cs="Arial"/>
          <w:sz w:val="22"/>
        </w:rPr>
      </w:pPr>
      <w:r w:rsidRPr="00A92668">
        <w:rPr>
          <w:rFonts w:cs="Arial"/>
          <w:sz w:val="22"/>
        </w:rPr>
        <w:t>B roads reduced by 47% (105km)</w:t>
      </w:r>
    </w:p>
    <w:p w:rsidR="00874A0C" w:rsidRPr="00A92668" w:rsidRDefault="00874A0C" w:rsidP="00874A0C">
      <w:pPr>
        <w:pStyle w:val="ListParagraph"/>
        <w:numPr>
          <w:ilvl w:val="1"/>
          <w:numId w:val="1"/>
        </w:numPr>
        <w:spacing w:after="0"/>
        <w:ind w:left="924" w:hanging="357"/>
        <w:jc w:val="both"/>
        <w:rPr>
          <w:rFonts w:cs="Arial"/>
          <w:sz w:val="22"/>
        </w:rPr>
      </w:pPr>
      <w:r w:rsidRPr="00A92668">
        <w:rPr>
          <w:rFonts w:cs="Arial"/>
          <w:sz w:val="22"/>
        </w:rPr>
        <w:t>C roads reduced by 34% (248km)</w:t>
      </w:r>
    </w:p>
    <w:p w:rsidR="00874A0C" w:rsidRPr="00A92668" w:rsidRDefault="00874A0C" w:rsidP="00874A0C">
      <w:pPr>
        <w:pStyle w:val="ListParagraph"/>
        <w:numPr>
          <w:ilvl w:val="0"/>
          <w:numId w:val="42"/>
        </w:numPr>
        <w:spacing w:after="0"/>
        <w:ind w:left="357" w:hanging="357"/>
        <w:jc w:val="both"/>
        <w:rPr>
          <w:rFonts w:cs="Arial"/>
          <w:sz w:val="22"/>
        </w:rPr>
      </w:pPr>
      <w:r w:rsidRPr="00A92668">
        <w:rPr>
          <w:rFonts w:cs="Arial"/>
          <w:sz w:val="22"/>
        </w:rPr>
        <w:t>Overall between 2014 and 2018 the average % of RED or AMBER on the A, B &amp; C road network has reduced by 417km (35%)</w:t>
      </w:r>
    </w:p>
    <w:p w:rsidR="00874A0C" w:rsidRPr="00A92668" w:rsidRDefault="00874A0C" w:rsidP="00874A0C">
      <w:pPr>
        <w:pStyle w:val="ListParagraph"/>
        <w:numPr>
          <w:ilvl w:val="0"/>
          <w:numId w:val="42"/>
        </w:numPr>
        <w:spacing w:after="0"/>
        <w:ind w:left="357" w:hanging="357"/>
        <w:jc w:val="both"/>
        <w:rPr>
          <w:szCs w:val="24"/>
        </w:rPr>
      </w:pPr>
      <w:r w:rsidRPr="00A92668">
        <w:rPr>
          <w:rFonts w:cs="Arial"/>
          <w:sz w:val="22"/>
        </w:rPr>
        <w:t>The A, B and C road network is currently regarded as being ACCEPTABLE.</w:t>
      </w:r>
    </w:p>
    <w:p w:rsidR="00874A0C" w:rsidRDefault="00874A0C" w:rsidP="00874A0C"/>
    <w:p w:rsidR="00472D02" w:rsidRPr="00874A0C" w:rsidRDefault="00472D02" w:rsidP="00874A0C">
      <w:pPr>
        <w:spacing w:after="0"/>
        <w:jc w:val="both"/>
        <w:rPr>
          <w:szCs w:val="24"/>
        </w:rPr>
      </w:pPr>
    </w:p>
    <w:p w:rsidR="00472D02" w:rsidRPr="00472D02" w:rsidRDefault="00472D02" w:rsidP="00472D02">
      <w:pPr>
        <w:rPr>
          <w:b/>
          <w:szCs w:val="24"/>
        </w:rPr>
        <w:sectPr w:rsidR="00472D02" w:rsidRPr="00472D02" w:rsidSect="00DE2E16">
          <w:type w:val="continuous"/>
          <w:pgSz w:w="16838" w:h="11906" w:orient="landscape"/>
          <w:pgMar w:top="1134" w:right="1134" w:bottom="1134" w:left="1134" w:header="709" w:footer="709" w:gutter="0"/>
          <w:cols w:num="2" w:space="708"/>
          <w:docGrid w:linePitch="360"/>
        </w:sectPr>
      </w:pPr>
    </w:p>
    <w:p w:rsidR="00732C6E" w:rsidRPr="005718F7" w:rsidRDefault="00732C6E" w:rsidP="005718F7">
      <w:pPr>
        <w:pStyle w:val="ListParagraph"/>
        <w:spacing w:after="0"/>
        <w:ind w:left="0"/>
        <w:rPr>
          <w:b/>
          <w:szCs w:val="24"/>
        </w:rPr>
      </w:pPr>
      <w:r w:rsidRPr="005718F7">
        <w:rPr>
          <w:b/>
          <w:szCs w:val="24"/>
        </w:rPr>
        <w:t>Rural Unclassified Roads</w:t>
      </w:r>
    </w:p>
    <w:p w:rsidR="00D32AF2" w:rsidRPr="005718F7" w:rsidRDefault="00D32AF2" w:rsidP="005718F7">
      <w:pPr>
        <w:pStyle w:val="ListParagraph"/>
        <w:spacing w:after="0"/>
        <w:ind w:left="0"/>
        <w:rPr>
          <w:b/>
          <w:szCs w:val="24"/>
        </w:rPr>
      </w:pPr>
    </w:p>
    <w:p w:rsidR="00732C6E" w:rsidRPr="005718F7" w:rsidRDefault="00732C6E" w:rsidP="005718F7">
      <w:pPr>
        <w:spacing w:after="0"/>
        <w:jc w:val="both"/>
        <w:rPr>
          <w:b/>
          <w:sz w:val="22"/>
        </w:rPr>
      </w:pPr>
      <w:r w:rsidRPr="005718F7">
        <w:rPr>
          <w:b/>
        </w:rPr>
        <w:t xml:space="preserve">Most Cost Effective Strategy: </w:t>
      </w:r>
      <w:r w:rsidRPr="005718F7">
        <w:rPr>
          <w:b/>
          <w:sz w:val="22"/>
        </w:rPr>
        <w:t xml:space="preserve">Investment in </w:t>
      </w:r>
      <w:r w:rsidR="008826FB" w:rsidRPr="005718F7">
        <w:rPr>
          <w:b/>
          <w:sz w:val="22"/>
        </w:rPr>
        <w:t>preventative</w:t>
      </w:r>
      <w:r w:rsidRPr="005718F7">
        <w:rPr>
          <w:b/>
          <w:sz w:val="22"/>
        </w:rPr>
        <w:t xml:space="preserve"> maintenance which is based on appropriate surface treatment in preference to more costly resurfacing of roads.</w:t>
      </w:r>
    </w:p>
    <w:p w:rsidR="00D32AF2" w:rsidRPr="005718F7" w:rsidRDefault="00D32AF2" w:rsidP="005718F7">
      <w:pPr>
        <w:spacing w:after="0"/>
        <w:jc w:val="both"/>
        <w:rPr>
          <w:b/>
          <w:sz w:val="22"/>
        </w:rPr>
      </w:pPr>
    </w:p>
    <w:p w:rsidR="00D32AF2" w:rsidRPr="005718F7" w:rsidRDefault="00D32AF2" w:rsidP="005718F7">
      <w:pPr>
        <w:spacing w:after="0"/>
        <w:jc w:val="both"/>
        <w:rPr>
          <w:b/>
          <w:sz w:val="22"/>
        </w:rPr>
      </w:pPr>
      <w:r w:rsidRPr="005718F7">
        <w:rPr>
          <w:b/>
          <w:sz w:val="22"/>
        </w:rPr>
        <w:t>Summary</w:t>
      </w:r>
    </w:p>
    <w:p w:rsidR="00D32AF2" w:rsidRPr="005718F7" w:rsidRDefault="00D32AF2" w:rsidP="005718F7">
      <w:pPr>
        <w:spacing w:after="0"/>
        <w:jc w:val="both"/>
        <w:rPr>
          <w:b/>
          <w:sz w:val="22"/>
        </w:rPr>
      </w:pPr>
    </w:p>
    <w:p w:rsidR="00732C6E" w:rsidRPr="005718F7" w:rsidRDefault="00732C6E" w:rsidP="005718F7">
      <w:pPr>
        <w:pStyle w:val="ListParagraph"/>
        <w:numPr>
          <w:ilvl w:val="0"/>
          <w:numId w:val="2"/>
        </w:numPr>
        <w:ind w:left="357" w:hanging="357"/>
        <w:jc w:val="both"/>
        <w:rPr>
          <w:sz w:val="22"/>
        </w:rPr>
      </w:pPr>
      <w:r w:rsidRPr="005718F7">
        <w:rPr>
          <w:sz w:val="22"/>
        </w:rPr>
        <w:t xml:space="preserve">The asset consists of approximately </w:t>
      </w:r>
      <w:r w:rsidR="003C6F0A" w:rsidRPr="005718F7">
        <w:rPr>
          <w:sz w:val="22"/>
        </w:rPr>
        <w:t>990 km</w:t>
      </w:r>
      <w:r w:rsidR="0088676A" w:rsidRPr="005718F7">
        <w:rPr>
          <w:sz w:val="22"/>
        </w:rPr>
        <w:t>.</w:t>
      </w:r>
    </w:p>
    <w:p w:rsidR="00732C6E" w:rsidRPr="005718F7" w:rsidRDefault="00732C6E" w:rsidP="005718F7">
      <w:pPr>
        <w:pStyle w:val="ListParagraph"/>
        <w:numPr>
          <w:ilvl w:val="0"/>
          <w:numId w:val="2"/>
        </w:numPr>
        <w:ind w:left="357" w:hanging="357"/>
        <w:jc w:val="both"/>
        <w:rPr>
          <w:sz w:val="22"/>
        </w:rPr>
      </w:pPr>
      <w:r w:rsidRPr="005718F7">
        <w:rPr>
          <w:sz w:val="22"/>
        </w:rPr>
        <w:t>The current condition is indicated by the number of defects identified by highways inspections</w:t>
      </w:r>
      <w:r w:rsidR="001D65E5" w:rsidRPr="005718F7">
        <w:rPr>
          <w:sz w:val="22"/>
        </w:rPr>
        <w:t>,</w:t>
      </w:r>
      <w:r w:rsidR="00522728" w:rsidRPr="005718F7">
        <w:rPr>
          <w:sz w:val="22"/>
        </w:rPr>
        <w:t xml:space="preserve"> as recorded in the Highway Defect Sort System</w:t>
      </w:r>
      <w:r w:rsidR="00157F19" w:rsidRPr="005718F7">
        <w:rPr>
          <w:sz w:val="22"/>
        </w:rPr>
        <w:t xml:space="preserve"> (HDSS)</w:t>
      </w:r>
      <w:r w:rsidR="0078323D" w:rsidRPr="005718F7">
        <w:rPr>
          <w:sz w:val="22"/>
        </w:rPr>
        <w:t>.</w:t>
      </w:r>
    </w:p>
    <w:p w:rsidR="00157F19" w:rsidRPr="005718F7" w:rsidRDefault="00157F19" w:rsidP="005718F7">
      <w:pPr>
        <w:pStyle w:val="ListParagraph"/>
        <w:numPr>
          <w:ilvl w:val="0"/>
          <w:numId w:val="2"/>
        </w:numPr>
        <w:ind w:left="357" w:hanging="357"/>
        <w:jc w:val="both"/>
        <w:rPr>
          <w:sz w:val="22"/>
        </w:rPr>
      </w:pPr>
      <w:r w:rsidRPr="005718F7">
        <w:rPr>
          <w:sz w:val="22"/>
        </w:rPr>
        <w:t>Due to a change from EXOR to HDSS the defects in the original TAMP are not comparable to the latest figures</w:t>
      </w:r>
      <w:r w:rsidR="00172233" w:rsidRPr="005718F7">
        <w:rPr>
          <w:sz w:val="22"/>
        </w:rPr>
        <w:t>.</w:t>
      </w:r>
    </w:p>
    <w:p w:rsidR="0078323D" w:rsidRPr="005718F7" w:rsidRDefault="001D65E5" w:rsidP="005718F7">
      <w:pPr>
        <w:pStyle w:val="ListParagraph"/>
        <w:numPr>
          <w:ilvl w:val="0"/>
          <w:numId w:val="2"/>
        </w:numPr>
        <w:ind w:left="357" w:hanging="357"/>
        <w:jc w:val="both"/>
        <w:rPr>
          <w:sz w:val="22"/>
        </w:rPr>
      </w:pPr>
      <w:r w:rsidRPr="005718F7">
        <w:rPr>
          <w:sz w:val="22"/>
        </w:rPr>
        <w:t xml:space="preserve">Overall there </w:t>
      </w:r>
      <w:r w:rsidR="00172233" w:rsidRPr="005718F7">
        <w:rPr>
          <w:sz w:val="22"/>
        </w:rPr>
        <w:t>has been a</w:t>
      </w:r>
      <w:r w:rsidR="00371623" w:rsidRPr="005718F7">
        <w:rPr>
          <w:sz w:val="22"/>
        </w:rPr>
        <w:t xml:space="preserve"> reduction of approximately 6,000 (46%) critical safety defects on the rural unclassified road network </w:t>
      </w:r>
      <w:r w:rsidR="00172233" w:rsidRPr="005718F7">
        <w:rPr>
          <w:sz w:val="22"/>
        </w:rPr>
        <w:t>between 201</w:t>
      </w:r>
      <w:r w:rsidR="001B1ED6" w:rsidRPr="005718F7">
        <w:rPr>
          <w:sz w:val="22"/>
        </w:rPr>
        <w:t>4</w:t>
      </w:r>
      <w:r w:rsidR="00172233" w:rsidRPr="005718F7">
        <w:rPr>
          <w:sz w:val="22"/>
        </w:rPr>
        <w:t>/1</w:t>
      </w:r>
      <w:r w:rsidR="001B1ED6" w:rsidRPr="005718F7">
        <w:rPr>
          <w:sz w:val="22"/>
        </w:rPr>
        <w:t xml:space="preserve">5 </w:t>
      </w:r>
      <w:r w:rsidR="00172233" w:rsidRPr="005718F7">
        <w:rPr>
          <w:sz w:val="22"/>
        </w:rPr>
        <w:t>and 201</w:t>
      </w:r>
      <w:r w:rsidR="00C04959" w:rsidRPr="005718F7">
        <w:rPr>
          <w:sz w:val="22"/>
        </w:rPr>
        <w:t>6/17.</w:t>
      </w:r>
    </w:p>
    <w:p w:rsidR="002D172D" w:rsidRPr="005718F7" w:rsidRDefault="002D172D" w:rsidP="005718F7">
      <w:pPr>
        <w:pStyle w:val="ListParagraph"/>
        <w:numPr>
          <w:ilvl w:val="0"/>
          <w:numId w:val="2"/>
        </w:numPr>
        <w:ind w:left="357" w:hanging="357"/>
        <w:jc w:val="both"/>
        <w:rPr>
          <w:sz w:val="22"/>
        </w:rPr>
      </w:pPr>
      <w:r w:rsidRPr="005718F7">
        <w:rPr>
          <w:sz w:val="22"/>
        </w:rPr>
        <w:t>As we have not had any survey data for the unclassified road network t</w:t>
      </w:r>
      <w:r w:rsidR="0078323D" w:rsidRPr="005718F7">
        <w:rPr>
          <w:sz w:val="22"/>
        </w:rPr>
        <w:t xml:space="preserve">he </w:t>
      </w:r>
      <w:r w:rsidR="00371623" w:rsidRPr="005718F7">
        <w:rPr>
          <w:sz w:val="22"/>
        </w:rPr>
        <w:t xml:space="preserve">TAMP </w:t>
      </w:r>
      <w:r w:rsidRPr="005718F7">
        <w:rPr>
          <w:sz w:val="22"/>
        </w:rPr>
        <w:t xml:space="preserve">has always </w:t>
      </w:r>
      <w:r w:rsidR="00371623" w:rsidRPr="005718F7">
        <w:rPr>
          <w:sz w:val="22"/>
        </w:rPr>
        <w:t>assume</w:t>
      </w:r>
      <w:r w:rsidRPr="005718F7">
        <w:rPr>
          <w:sz w:val="22"/>
        </w:rPr>
        <w:t>d</w:t>
      </w:r>
      <w:r w:rsidR="00371623" w:rsidRPr="005718F7">
        <w:rPr>
          <w:sz w:val="22"/>
        </w:rPr>
        <w:t xml:space="preserve"> that the condition of the unclassified road network mirror</w:t>
      </w:r>
      <w:r w:rsidRPr="005718F7">
        <w:rPr>
          <w:sz w:val="22"/>
        </w:rPr>
        <w:t>ed</w:t>
      </w:r>
      <w:r w:rsidR="00371623" w:rsidRPr="005718F7">
        <w:rPr>
          <w:sz w:val="22"/>
        </w:rPr>
        <w:t xml:space="preserve"> that of the 'C' road.  As </w:t>
      </w:r>
      <w:r w:rsidRPr="005718F7">
        <w:rPr>
          <w:sz w:val="22"/>
        </w:rPr>
        <w:t xml:space="preserve">a result of video survey works, </w:t>
      </w:r>
      <w:r w:rsidR="00843637" w:rsidRPr="005718F7">
        <w:rPr>
          <w:sz w:val="22"/>
        </w:rPr>
        <w:t xml:space="preserve">we are analysing this data be able to report actual condition in the next refresh. </w:t>
      </w:r>
    </w:p>
    <w:p w:rsidR="00732C6E" w:rsidRPr="005718F7" w:rsidRDefault="00732C6E" w:rsidP="005718F7">
      <w:pPr>
        <w:pStyle w:val="ListParagraph"/>
        <w:numPr>
          <w:ilvl w:val="0"/>
          <w:numId w:val="2"/>
        </w:numPr>
        <w:ind w:left="357" w:hanging="357"/>
        <w:jc w:val="both"/>
        <w:rPr>
          <w:sz w:val="22"/>
        </w:rPr>
      </w:pPr>
      <w:r w:rsidRPr="005718F7">
        <w:rPr>
          <w:sz w:val="22"/>
        </w:rPr>
        <w:t>Investment is based firstly on maintaining the current condition of the network as far as is practical</w:t>
      </w:r>
      <w:r w:rsidR="0088676A" w:rsidRPr="005718F7">
        <w:rPr>
          <w:sz w:val="22"/>
        </w:rPr>
        <w:t>,</w:t>
      </w:r>
      <w:r w:rsidR="00DF6DCD" w:rsidRPr="005718F7">
        <w:rPr>
          <w:sz w:val="22"/>
        </w:rPr>
        <w:t xml:space="preserve"> and s</w:t>
      </w:r>
      <w:r w:rsidRPr="005718F7">
        <w:rPr>
          <w:sz w:val="22"/>
        </w:rPr>
        <w:t xml:space="preserve">econdly, if investment levels are sufficient, </w:t>
      </w:r>
      <w:r w:rsidR="00DF6DCD" w:rsidRPr="005718F7">
        <w:rPr>
          <w:sz w:val="22"/>
        </w:rPr>
        <w:t xml:space="preserve">to </w:t>
      </w:r>
      <w:r w:rsidRPr="005718F7">
        <w:rPr>
          <w:sz w:val="22"/>
        </w:rPr>
        <w:t xml:space="preserve">bring all district areas </w:t>
      </w:r>
      <w:r w:rsidR="00DF6DCD" w:rsidRPr="005718F7">
        <w:rPr>
          <w:sz w:val="22"/>
        </w:rPr>
        <w:t xml:space="preserve">up </w:t>
      </w:r>
      <w:r w:rsidRPr="005718F7">
        <w:rPr>
          <w:sz w:val="22"/>
        </w:rPr>
        <w:t xml:space="preserve">to the </w:t>
      </w:r>
      <w:r w:rsidR="00DF6DCD" w:rsidRPr="005718F7">
        <w:rPr>
          <w:sz w:val="22"/>
        </w:rPr>
        <w:t xml:space="preserve">same </w:t>
      </w:r>
      <w:r w:rsidRPr="005718F7">
        <w:rPr>
          <w:sz w:val="22"/>
        </w:rPr>
        <w:t xml:space="preserve">county </w:t>
      </w:r>
      <w:r w:rsidR="006B25DC" w:rsidRPr="005718F7">
        <w:rPr>
          <w:sz w:val="22"/>
        </w:rPr>
        <w:t>standard</w:t>
      </w:r>
      <w:r w:rsidR="0088676A" w:rsidRPr="005718F7">
        <w:rPr>
          <w:sz w:val="22"/>
        </w:rPr>
        <w:t>.</w:t>
      </w:r>
    </w:p>
    <w:p w:rsidR="00732C6E" w:rsidRPr="005718F7" w:rsidRDefault="00732C6E" w:rsidP="005718F7">
      <w:pPr>
        <w:pStyle w:val="ListParagraph"/>
        <w:numPr>
          <w:ilvl w:val="0"/>
          <w:numId w:val="2"/>
        </w:numPr>
        <w:ind w:left="357" w:hanging="357"/>
        <w:jc w:val="both"/>
        <w:rPr>
          <w:sz w:val="22"/>
        </w:rPr>
      </w:pPr>
      <w:r w:rsidRPr="005718F7">
        <w:rPr>
          <w:sz w:val="22"/>
        </w:rPr>
        <w:t>The asset is important to the rural economy and to rural communities</w:t>
      </w:r>
      <w:r w:rsidR="006B25DC" w:rsidRPr="005718F7">
        <w:rPr>
          <w:sz w:val="22"/>
        </w:rPr>
        <w:t>.</w:t>
      </w:r>
    </w:p>
    <w:p w:rsidR="00732C6E" w:rsidRDefault="00732C6E" w:rsidP="00732C6E"/>
    <w:p w:rsidR="00371623" w:rsidRDefault="00371623" w:rsidP="00732C6E">
      <w:r>
        <w:rPr>
          <w:noProof/>
          <w:lang w:eastAsia="en-GB"/>
        </w:rPr>
        <w:drawing>
          <wp:inline distT="0" distB="0" distL="0" distR="0" wp14:anchorId="0E473C19" wp14:editId="54041A05">
            <wp:extent cx="4404995" cy="2671086"/>
            <wp:effectExtent l="0" t="0" r="14605" b="152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3F4F" w:rsidRDefault="00E43F4F" w:rsidP="00732C6E">
      <w:r>
        <w:rPr>
          <w:noProof/>
          <w:lang w:eastAsia="en-GB"/>
        </w:rPr>
        <w:drawing>
          <wp:inline distT="0" distB="0" distL="0" distR="0" wp14:anchorId="6D25C0B7" wp14:editId="29C0BC3A">
            <wp:extent cx="4404995" cy="2309495"/>
            <wp:effectExtent l="0" t="0" r="14605" b="146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6EF5" w:rsidRDefault="00AB6EF5" w:rsidP="00732C6E"/>
    <w:p w:rsidR="00732C6E" w:rsidRPr="005718F7" w:rsidRDefault="00732C6E" w:rsidP="005718F7">
      <w:pPr>
        <w:spacing w:after="0"/>
        <w:jc w:val="both"/>
        <w:rPr>
          <w:b/>
        </w:rPr>
      </w:pPr>
      <w:r w:rsidRPr="005718F7">
        <w:rPr>
          <w:b/>
        </w:rPr>
        <w:t>Residential Roads</w:t>
      </w:r>
    </w:p>
    <w:p w:rsidR="00732C6E" w:rsidRPr="005718F7" w:rsidRDefault="00732C6E" w:rsidP="005718F7">
      <w:pPr>
        <w:spacing w:after="0"/>
        <w:jc w:val="both"/>
        <w:rPr>
          <w:b/>
          <w:sz w:val="22"/>
        </w:rPr>
      </w:pPr>
      <w:r w:rsidRPr="005718F7">
        <w:rPr>
          <w:b/>
        </w:rPr>
        <w:t xml:space="preserve">Most Cost Effective Strategy: </w:t>
      </w:r>
      <w:r w:rsidRPr="005718F7">
        <w:rPr>
          <w:b/>
          <w:sz w:val="22"/>
        </w:rPr>
        <w:t xml:space="preserve">Investment in </w:t>
      </w:r>
      <w:r w:rsidR="008826FB" w:rsidRPr="005718F7">
        <w:rPr>
          <w:b/>
          <w:sz w:val="22"/>
        </w:rPr>
        <w:t xml:space="preserve">preventative </w:t>
      </w:r>
      <w:r w:rsidRPr="005718F7">
        <w:rPr>
          <w:b/>
          <w:sz w:val="22"/>
        </w:rPr>
        <w:t>maintenance which is based on appropriate surface treatment in preference to more costly resurfacing of roads.</w:t>
      </w:r>
    </w:p>
    <w:p w:rsidR="00D32AF2" w:rsidRPr="005718F7" w:rsidRDefault="00D32AF2" w:rsidP="005718F7">
      <w:pPr>
        <w:spacing w:after="0"/>
        <w:jc w:val="both"/>
        <w:rPr>
          <w:b/>
          <w:sz w:val="22"/>
        </w:rPr>
      </w:pPr>
    </w:p>
    <w:p w:rsidR="00D32AF2" w:rsidRPr="005718F7" w:rsidRDefault="00D32AF2" w:rsidP="005718F7">
      <w:pPr>
        <w:spacing w:after="0"/>
        <w:jc w:val="both"/>
        <w:rPr>
          <w:b/>
          <w:sz w:val="22"/>
        </w:rPr>
      </w:pPr>
      <w:r w:rsidRPr="005718F7">
        <w:rPr>
          <w:b/>
          <w:sz w:val="22"/>
        </w:rPr>
        <w:t>Summary</w:t>
      </w:r>
    </w:p>
    <w:p w:rsidR="00D32AF2" w:rsidRPr="005718F7" w:rsidRDefault="00D32AF2" w:rsidP="005718F7">
      <w:pPr>
        <w:spacing w:after="0"/>
        <w:jc w:val="both"/>
        <w:rPr>
          <w:b/>
          <w:sz w:val="22"/>
        </w:rPr>
      </w:pPr>
    </w:p>
    <w:p w:rsidR="00732C6E" w:rsidRPr="005718F7" w:rsidRDefault="00732C6E" w:rsidP="005718F7">
      <w:pPr>
        <w:pStyle w:val="ListParagraph"/>
        <w:numPr>
          <w:ilvl w:val="0"/>
          <w:numId w:val="8"/>
        </w:numPr>
        <w:ind w:left="357" w:hanging="357"/>
        <w:jc w:val="both"/>
        <w:rPr>
          <w:sz w:val="22"/>
        </w:rPr>
      </w:pPr>
      <w:r w:rsidRPr="005718F7">
        <w:rPr>
          <w:sz w:val="22"/>
        </w:rPr>
        <w:t>The asset includes approximately 3,</w:t>
      </w:r>
      <w:r w:rsidR="003C6F0A" w:rsidRPr="005718F7">
        <w:rPr>
          <w:sz w:val="22"/>
        </w:rPr>
        <w:t>130</w:t>
      </w:r>
      <w:r w:rsidRPr="005718F7">
        <w:rPr>
          <w:sz w:val="22"/>
        </w:rPr>
        <w:t xml:space="preserve"> km of residential </w:t>
      </w:r>
      <w:r w:rsidR="00DF6DCD" w:rsidRPr="005718F7">
        <w:rPr>
          <w:sz w:val="22"/>
        </w:rPr>
        <w:t>roads</w:t>
      </w:r>
      <w:r w:rsidR="0088676A" w:rsidRPr="005718F7">
        <w:rPr>
          <w:sz w:val="22"/>
        </w:rPr>
        <w:t>.</w:t>
      </w:r>
    </w:p>
    <w:p w:rsidR="00157F19" w:rsidRPr="005718F7" w:rsidRDefault="00157F19" w:rsidP="005718F7">
      <w:pPr>
        <w:pStyle w:val="ListParagraph"/>
        <w:numPr>
          <w:ilvl w:val="0"/>
          <w:numId w:val="8"/>
        </w:numPr>
        <w:ind w:left="357" w:hanging="357"/>
        <w:jc w:val="both"/>
        <w:rPr>
          <w:sz w:val="22"/>
        </w:rPr>
      </w:pPr>
      <w:r w:rsidRPr="005718F7">
        <w:rPr>
          <w:sz w:val="22"/>
        </w:rPr>
        <w:t>The current condition is indicated by the numbers of defects identified by highways inspections as recorded in the Hi</w:t>
      </w:r>
      <w:r w:rsidR="00A4390F" w:rsidRPr="005718F7">
        <w:rPr>
          <w:sz w:val="22"/>
        </w:rPr>
        <w:t xml:space="preserve">ghway Defect Sort System (HDSS).  </w:t>
      </w:r>
      <w:r w:rsidRPr="005718F7">
        <w:rPr>
          <w:sz w:val="22"/>
        </w:rPr>
        <w:t xml:space="preserve">Due to a change </w:t>
      </w:r>
      <w:r w:rsidR="00A4390F" w:rsidRPr="005718F7">
        <w:rPr>
          <w:sz w:val="22"/>
        </w:rPr>
        <w:t>of systems t</w:t>
      </w:r>
      <w:r w:rsidRPr="005718F7">
        <w:rPr>
          <w:sz w:val="22"/>
        </w:rPr>
        <w:t xml:space="preserve">he </w:t>
      </w:r>
      <w:r w:rsidR="00A4390F" w:rsidRPr="005718F7">
        <w:rPr>
          <w:sz w:val="22"/>
        </w:rPr>
        <w:t xml:space="preserve">2013 </w:t>
      </w:r>
      <w:r w:rsidRPr="005718F7">
        <w:rPr>
          <w:sz w:val="22"/>
        </w:rPr>
        <w:t>defects</w:t>
      </w:r>
      <w:r w:rsidR="00A4390F" w:rsidRPr="005718F7">
        <w:rPr>
          <w:sz w:val="22"/>
        </w:rPr>
        <w:t xml:space="preserve"> numbers </w:t>
      </w:r>
      <w:r w:rsidRPr="005718F7">
        <w:rPr>
          <w:sz w:val="22"/>
        </w:rPr>
        <w:t>in the original TAMP are not comparable to the latest figures</w:t>
      </w:r>
      <w:r w:rsidR="00AB1202" w:rsidRPr="005718F7">
        <w:rPr>
          <w:sz w:val="22"/>
        </w:rPr>
        <w:t>.</w:t>
      </w:r>
    </w:p>
    <w:p w:rsidR="00FF70F3" w:rsidRPr="005718F7" w:rsidRDefault="00A4390F" w:rsidP="005718F7">
      <w:pPr>
        <w:pStyle w:val="ListParagraph"/>
        <w:numPr>
          <w:ilvl w:val="0"/>
          <w:numId w:val="8"/>
        </w:numPr>
        <w:ind w:left="357" w:hanging="357"/>
        <w:jc w:val="both"/>
        <w:rPr>
          <w:sz w:val="22"/>
        </w:rPr>
      </w:pPr>
      <w:r w:rsidRPr="005718F7">
        <w:rPr>
          <w:sz w:val="22"/>
        </w:rPr>
        <w:t>Overall there has been a reduction of approximately 2,000 (7.5%) s</w:t>
      </w:r>
      <w:r w:rsidR="00FF70F3" w:rsidRPr="005718F7">
        <w:rPr>
          <w:sz w:val="22"/>
        </w:rPr>
        <w:t xml:space="preserve">afety critical defects found on </w:t>
      </w:r>
      <w:r w:rsidRPr="005718F7">
        <w:rPr>
          <w:sz w:val="22"/>
        </w:rPr>
        <w:t xml:space="preserve">the </w:t>
      </w:r>
      <w:r w:rsidR="00FF70F3" w:rsidRPr="005718F7">
        <w:rPr>
          <w:sz w:val="22"/>
        </w:rPr>
        <w:t xml:space="preserve">rural </w:t>
      </w:r>
      <w:r w:rsidRPr="005718F7">
        <w:rPr>
          <w:sz w:val="22"/>
        </w:rPr>
        <w:t xml:space="preserve">unclassified </w:t>
      </w:r>
      <w:r w:rsidR="00FF70F3" w:rsidRPr="005718F7">
        <w:rPr>
          <w:sz w:val="22"/>
        </w:rPr>
        <w:t>road</w:t>
      </w:r>
      <w:r w:rsidRPr="005718F7">
        <w:rPr>
          <w:sz w:val="22"/>
        </w:rPr>
        <w:t xml:space="preserve"> network </w:t>
      </w:r>
      <w:r w:rsidR="00FF70F3" w:rsidRPr="005718F7">
        <w:rPr>
          <w:sz w:val="22"/>
        </w:rPr>
        <w:t>between 2014/15 and 2016/17</w:t>
      </w:r>
    </w:p>
    <w:p w:rsidR="00A4390F" w:rsidRPr="005718F7" w:rsidRDefault="00843637" w:rsidP="005718F7">
      <w:pPr>
        <w:pStyle w:val="ListParagraph"/>
        <w:numPr>
          <w:ilvl w:val="0"/>
          <w:numId w:val="8"/>
        </w:numPr>
        <w:ind w:left="357" w:hanging="357"/>
        <w:jc w:val="both"/>
        <w:rPr>
          <w:sz w:val="22"/>
        </w:rPr>
      </w:pPr>
      <w:r w:rsidRPr="005718F7">
        <w:rPr>
          <w:rFonts w:eastAsia="Times New Roman" w:cs="Arial"/>
          <w:bCs/>
          <w:color w:val="000000" w:themeColor="text1"/>
          <w:sz w:val="22"/>
          <w:lang w:val="en" w:eastAsia="en-GB"/>
        </w:rPr>
        <w:t>We have recently undertaken highway video surveys and are currently working with neighboring authorities to ensure consistent interpretation of the data and development of service standards</w:t>
      </w:r>
      <w:r w:rsidR="004C50A8" w:rsidRPr="005718F7">
        <w:rPr>
          <w:sz w:val="22"/>
        </w:rPr>
        <w:t>.</w:t>
      </w:r>
    </w:p>
    <w:p w:rsidR="00732C6E" w:rsidRPr="005718F7" w:rsidRDefault="00732C6E" w:rsidP="005718F7">
      <w:pPr>
        <w:pStyle w:val="ListParagraph"/>
        <w:numPr>
          <w:ilvl w:val="0"/>
          <w:numId w:val="8"/>
        </w:numPr>
        <w:ind w:left="357" w:hanging="357"/>
        <w:jc w:val="both"/>
        <w:rPr>
          <w:sz w:val="22"/>
        </w:rPr>
      </w:pPr>
      <w:r w:rsidRPr="005718F7">
        <w:rPr>
          <w:sz w:val="22"/>
        </w:rPr>
        <w:t>The estimated investment required to maintain the current rate of deterioration would be £5m per annum</w:t>
      </w:r>
      <w:r w:rsidR="0088676A" w:rsidRPr="005718F7">
        <w:rPr>
          <w:sz w:val="22"/>
        </w:rPr>
        <w:t>.</w:t>
      </w:r>
    </w:p>
    <w:p w:rsidR="00732C6E" w:rsidRPr="005718F7" w:rsidRDefault="00732C6E" w:rsidP="005718F7">
      <w:pPr>
        <w:pStyle w:val="ListParagraph"/>
        <w:numPr>
          <w:ilvl w:val="0"/>
          <w:numId w:val="8"/>
        </w:numPr>
        <w:ind w:left="357" w:hanging="357"/>
        <w:jc w:val="both"/>
        <w:rPr>
          <w:sz w:val="22"/>
        </w:rPr>
      </w:pPr>
      <w:r w:rsidRPr="005718F7">
        <w:rPr>
          <w:sz w:val="22"/>
        </w:rPr>
        <w:t>Investment is based firstly on maintain</w:t>
      </w:r>
      <w:r w:rsidR="006B25DC" w:rsidRPr="005718F7">
        <w:rPr>
          <w:sz w:val="22"/>
        </w:rPr>
        <w:t>ing</w:t>
      </w:r>
      <w:r w:rsidRPr="005718F7">
        <w:rPr>
          <w:sz w:val="22"/>
        </w:rPr>
        <w:t xml:space="preserve"> the current condition of the network as far as is practical</w:t>
      </w:r>
      <w:r w:rsidR="0088676A" w:rsidRPr="005718F7">
        <w:rPr>
          <w:sz w:val="22"/>
        </w:rPr>
        <w:t>.</w:t>
      </w:r>
    </w:p>
    <w:p w:rsidR="00732C6E" w:rsidRPr="005718F7" w:rsidRDefault="00732C6E" w:rsidP="005718F7">
      <w:pPr>
        <w:pStyle w:val="ListParagraph"/>
        <w:numPr>
          <w:ilvl w:val="0"/>
          <w:numId w:val="8"/>
        </w:numPr>
        <w:ind w:left="357" w:hanging="357"/>
        <w:jc w:val="both"/>
        <w:rPr>
          <w:sz w:val="22"/>
        </w:rPr>
      </w:pPr>
      <w:r w:rsidRPr="005718F7">
        <w:rPr>
          <w:sz w:val="22"/>
        </w:rPr>
        <w:t xml:space="preserve">Secondly, if resources allow, </w:t>
      </w:r>
      <w:r w:rsidR="0088676A" w:rsidRPr="005718F7">
        <w:rPr>
          <w:sz w:val="22"/>
        </w:rPr>
        <w:t xml:space="preserve">investment will be based on </w:t>
      </w:r>
      <w:r w:rsidRPr="005718F7">
        <w:rPr>
          <w:sz w:val="22"/>
        </w:rPr>
        <w:t>bringing all districts to the county standard</w:t>
      </w:r>
      <w:r w:rsidR="0088676A" w:rsidRPr="005718F7">
        <w:rPr>
          <w:sz w:val="22"/>
        </w:rPr>
        <w:t>.</w:t>
      </w:r>
    </w:p>
    <w:p w:rsidR="00A4390F" w:rsidRDefault="00A4390F" w:rsidP="005718F7">
      <w:pPr>
        <w:pStyle w:val="ListParagraph"/>
        <w:ind w:left="357"/>
        <w:jc w:val="both"/>
        <w:rPr>
          <w:sz w:val="22"/>
        </w:rPr>
      </w:pPr>
    </w:p>
    <w:p w:rsidR="00A4390F" w:rsidRDefault="00A4390F" w:rsidP="005718F7">
      <w:pPr>
        <w:pStyle w:val="ListParagraph"/>
        <w:ind w:left="357"/>
        <w:jc w:val="both"/>
        <w:rPr>
          <w:sz w:val="22"/>
        </w:rPr>
      </w:pPr>
    </w:p>
    <w:p w:rsidR="00A4390F" w:rsidRDefault="00A4390F" w:rsidP="00A4390F">
      <w:pPr>
        <w:jc w:val="both"/>
        <w:rPr>
          <w:sz w:val="22"/>
        </w:rPr>
      </w:pPr>
      <w:r>
        <w:rPr>
          <w:noProof/>
          <w:lang w:eastAsia="en-GB"/>
        </w:rPr>
        <w:drawing>
          <wp:inline distT="0" distB="0" distL="0" distR="0" wp14:anchorId="24DBD152" wp14:editId="2EC782D3">
            <wp:extent cx="4293235" cy="2441051"/>
            <wp:effectExtent l="0" t="0" r="12065" b="165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50231" w:rsidRDefault="00C04959" w:rsidP="00732C6E">
      <w:pPr>
        <w:rPr>
          <w:b/>
          <w:noProof/>
          <w:lang w:eastAsia="en-GB"/>
        </w:rPr>
      </w:pPr>
      <w:r>
        <w:rPr>
          <w:noProof/>
          <w:lang w:eastAsia="en-GB"/>
        </w:rPr>
        <w:drawing>
          <wp:inline distT="0" distB="0" distL="0" distR="0" wp14:anchorId="02231635" wp14:editId="00C123E6">
            <wp:extent cx="4349115" cy="2464904"/>
            <wp:effectExtent l="0" t="0" r="13335" b="120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4959" w:rsidRDefault="00C04959" w:rsidP="00732C6E">
      <w:pPr>
        <w:rPr>
          <w:b/>
          <w:noProof/>
          <w:lang w:eastAsia="en-GB"/>
        </w:rPr>
      </w:pPr>
    </w:p>
    <w:p w:rsidR="00732C6E" w:rsidRPr="000C4981" w:rsidRDefault="00732C6E" w:rsidP="000C4981">
      <w:pPr>
        <w:spacing w:after="0" w:line="240" w:lineRule="auto"/>
        <w:rPr>
          <w:b/>
          <w:noProof/>
          <w:lang w:eastAsia="en-GB"/>
        </w:rPr>
      </w:pPr>
      <w:r w:rsidRPr="000C4981">
        <w:rPr>
          <w:b/>
          <w:noProof/>
          <w:lang w:eastAsia="en-GB"/>
        </w:rPr>
        <w:t>Footways</w:t>
      </w:r>
    </w:p>
    <w:p w:rsidR="00D32AF2" w:rsidRPr="000C4981" w:rsidRDefault="00D32AF2" w:rsidP="000C4981">
      <w:pPr>
        <w:spacing w:after="0" w:line="240" w:lineRule="auto"/>
        <w:rPr>
          <w:b/>
          <w:noProof/>
          <w:lang w:eastAsia="en-GB"/>
        </w:rPr>
      </w:pPr>
    </w:p>
    <w:p w:rsidR="00732C6E" w:rsidRPr="000C4981" w:rsidRDefault="00732C6E" w:rsidP="000C4981">
      <w:pPr>
        <w:spacing w:after="0"/>
        <w:jc w:val="both"/>
        <w:rPr>
          <w:b/>
          <w:sz w:val="22"/>
        </w:rPr>
      </w:pPr>
      <w:r w:rsidRPr="000C4981">
        <w:rPr>
          <w:b/>
        </w:rPr>
        <w:t xml:space="preserve">Most Cost Effective Strategy: </w:t>
      </w:r>
      <w:r w:rsidRPr="000C4981">
        <w:rPr>
          <w:b/>
          <w:sz w:val="22"/>
        </w:rPr>
        <w:t xml:space="preserve">Investment in </w:t>
      </w:r>
      <w:r w:rsidR="008826FB" w:rsidRPr="000C4981">
        <w:rPr>
          <w:b/>
          <w:sz w:val="22"/>
        </w:rPr>
        <w:t>preventative</w:t>
      </w:r>
      <w:r w:rsidRPr="000C4981">
        <w:rPr>
          <w:b/>
          <w:sz w:val="22"/>
        </w:rPr>
        <w:t xml:space="preserve"> maintenance which is based on appropriate surface treatment in preference to more costly resurfacing of footways.</w:t>
      </w:r>
    </w:p>
    <w:p w:rsidR="00D32AF2" w:rsidRPr="000C4981" w:rsidRDefault="00D32AF2" w:rsidP="000C4981">
      <w:pPr>
        <w:spacing w:after="0" w:line="240" w:lineRule="auto"/>
        <w:jc w:val="both"/>
        <w:rPr>
          <w:b/>
          <w:sz w:val="22"/>
        </w:rPr>
      </w:pPr>
    </w:p>
    <w:p w:rsidR="00D32AF2" w:rsidRPr="000C4981" w:rsidRDefault="00D32AF2" w:rsidP="000C4981">
      <w:pPr>
        <w:spacing w:after="0" w:line="240" w:lineRule="auto"/>
        <w:jc w:val="both"/>
        <w:rPr>
          <w:b/>
          <w:sz w:val="22"/>
        </w:rPr>
      </w:pPr>
      <w:r w:rsidRPr="000C4981">
        <w:rPr>
          <w:b/>
          <w:sz w:val="22"/>
        </w:rPr>
        <w:t>Summary</w:t>
      </w:r>
    </w:p>
    <w:p w:rsidR="00D32AF2" w:rsidRPr="000C4981" w:rsidRDefault="00D32AF2" w:rsidP="000C4981">
      <w:pPr>
        <w:spacing w:after="0" w:line="240" w:lineRule="auto"/>
        <w:jc w:val="both"/>
        <w:rPr>
          <w:b/>
          <w:sz w:val="22"/>
        </w:rPr>
      </w:pPr>
    </w:p>
    <w:p w:rsidR="00732C6E" w:rsidRPr="000C4981" w:rsidRDefault="00732C6E" w:rsidP="000C4981">
      <w:pPr>
        <w:pStyle w:val="ListParagraph"/>
        <w:numPr>
          <w:ilvl w:val="0"/>
          <w:numId w:val="4"/>
        </w:numPr>
        <w:ind w:left="357" w:hanging="357"/>
        <w:jc w:val="both"/>
        <w:rPr>
          <w:noProof/>
          <w:sz w:val="22"/>
          <w:lang w:eastAsia="en-GB"/>
        </w:rPr>
      </w:pPr>
      <w:r w:rsidRPr="000C4981">
        <w:rPr>
          <w:noProof/>
          <w:sz w:val="22"/>
          <w:lang w:eastAsia="en-GB"/>
        </w:rPr>
        <w:t xml:space="preserve">There are over </w:t>
      </w:r>
      <w:r w:rsidR="00AC3FC1" w:rsidRPr="000C4981">
        <w:rPr>
          <w:noProof/>
          <w:sz w:val="22"/>
          <w:lang w:eastAsia="en-GB"/>
        </w:rPr>
        <w:t>8</w:t>
      </w:r>
      <w:r w:rsidRPr="000C4981">
        <w:rPr>
          <w:noProof/>
          <w:sz w:val="22"/>
          <w:lang w:eastAsia="en-GB"/>
        </w:rPr>
        <w:t>,</w:t>
      </w:r>
      <w:r w:rsidR="00AC3FC1" w:rsidRPr="000C4981">
        <w:rPr>
          <w:noProof/>
          <w:sz w:val="22"/>
          <w:lang w:eastAsia="en-GB"/>
        </w:rPr>
        <w:t>5</w:t>
      </w:r>
      <w:r w:rsidR="00113287" w:rsidRPr="000C4981">
        <w:rPr>
          <w:noProof/>
          <w:sz w:val="22"/>
          <w:lang w:eastAsia="en-GB"/>
        </w:rPr>
        <w:t xml:space="preserve">00km of footways </w:t>
      </w:r>
      <w:r w:rsidRPr="000C4981">
        <w:rPr>
          <w:noProof/>
          <w:sz w:val="22"/>
          <w:lang w:eastAsia="en-GB"/>
        </w:rPr>
        <w:t>in Lancashire</w:t>
      </w:r>
      <w:r w:rsidR="0088676A" w:rsidRPr="000C4981">
        <w:rPr>
          <w:noProof/>
          <w:sz w:val="22"/>
          <w:lang w:eastAsia="en-GB"/>
        </w:rPr>
        <w:t>.</w:t>
      </w:r>
    </w:p>
    <w:p w:rsidR="004C50A8" w:rsidRPr="000C4981" w:rsidRDefault="004C50A8" w:rsidP="000C4981">
      <w:pPr>
        <w:pStyle w:val="ListParagraph"/>
        <w:numPr>
          <w:ilvl w:val="0"/>
          <w:numId w:val="4"/>
        </w:numPr>
        <w:ind w:left="357" w:hanging="357"/>
        <w:jc w:val="both"/>
        <w:rPr>
          <w:sz w:val="22"/>
        </w:rPr>
      </w:pPr>
      <w:r w:rsidRPr="000C4981">
        <w:rPr>
          <w:sz w:val="22"/>
        </w:rPr>
        <w:t xml:space="preserve">The </w:t>
      </w:r>
      <w:r w:rsidR="0078323D" w:rsidRPr="000C4981">
        <w:rPr>
          <w:sz w:val="22"/>
        </w:rPr>
        <w:t xml:space="preserve">condition </w:t>
      </w:r>
      <w:r w:rsidRPr="000C4981">
        <w:rPr>
          <w:sz w:val="22"/>
        </w:rPr>
        <w:t>of this asset group has, in the absence of survey data, been determined by the number of defects detected on the footway network and the number of footway claims received.</w:t>
      </w:r>
    </w:p>
    <w:p w:rsidR="00A43895" w:rsidRPr="000C4981" w:rsidRDefault="00A43895" w:rsidP="000C4981">
      <w:pPr>
        <w:pStyle w:val="ListParagraph"/>
        <w:numPr>
          <w:ilvl w:val="0"/>
          <w:numId w:val="4"/>
        </w:numPr>
        <w:ind w:left="357" w:hanging="357"/>
        <w:jc w:val="both"/>
        <w:rPr>
          <w:sz w:val="22"/>
        </w:rPr>
      </w:pPr>
      <w:r w:rsidRPr="000C4981">
        <w:rPr>
          <w:sz w:val="22"/>
        </w:rPr>
        <w:t>Using defect numbers the current condition of the asset is assessed as being EXCELLENT.</w:t>
      </w:r>
    </w:p>
    <w:p w:rsidR="00A43895" w:rsidRPr="000C4981" w:rsidRDefault="00A43895" w:rsidP="000C4981">
      <w:pPr>
        <w:pStyle w:val="ListParagraph"/>
        <w:numPr>
          <w:ilvl w:val="0"/>
          <w:numId w:val="4"/>
        </w:numPr>
        <w:ind w:left="357" w:hanging="357"/>
        <w:jc w:val="both"/>
        <w:rPr>
          <w:sz w:val="22"/>
        </w:rPr>
      </w:pPr>
      <w:r w:rsidRPr="000C4981">
        <w:rPr>
          <w:sz w:val="22"/>
        </w:rPr>
        <w:t xml:space="preserve">Condition data for the footway network has now been collected </w:t>
      </w:r>
      <w:r w:rsidR="00F1232F">
        <w:rPr>
          <w:sz w:val="22"/>
        </w:rPr>
        <w:t xml:space="preserve">by video survey </w:t>
      </w:r>
      <w:r w:rsidRPr="000C4981">
        <w:rPr>
          <w:sz w:val="22"/>
        </w:rPr>
        <w:t xml:space="preserve">and </w:t>
      </w:r>
      <w:r w:rsidR="00F1232F">
        <w:rPr>
          <w:sz w:val="22"/>
        </w:rPr>
        <w:t xml:space="preserve">we are awaiting this to be analysed by the service provider, as </w:t>
      </w:r>
      <w:r w:rsidRPr="000C4981">
        <w:rPr>
          <w:sz w:val="22"/>
        </w:rPr>
        <w:t>detailed earlier in this refresh document.</w:t>
      </w:r>
    </w:p>
    <w:p w:rsidR="00374D39" w:rsidRPr="000C4981" w:rsidRDefault="0078323D" w:rsidP="000C4981">
      <w:pPr>
        <w:pStyle w:val="ListParagraph"/>
        <w:numPr>
          <w:ilvl w:val="0"/>
          <w:numId w:val="4"/>
        </w:numPr>
        <w:ind w:left="357" w:hanging="357"/>
        <w:jc w:val="both"/>
        <w:rPr>
          <w:sz w:val="22"/>
        </w:rPr>
      </w:pPr>
      <w:r w:rsidRPr="000C4981">
        <w:rPr>
          <w:sz w:val="22"/>
        </w:rPr>
        <w:t xml:space="preserve">Overall there </w:t>
      </w:r>
      <w:r w:rsidR="004C50A8" w:rsidRPr="000C4981">
        <w:rPr>
          <w:sz w:val="22"/>
        </w:rPr>
        <w:t xml:space="preserve">are approximately </w:t>
      </w:r>
      <w:r w:rsidR="00F1232F">
        <w:rPr>
          <w:sz w:val="22"/>
        </w:rPr>
        <w:t>13,120</w:t>
      </w:r>
      <w:r w:rsidR="004C50A8" w:rsidRPr="000C4981">
        <w:rPr>
          <w:sz w:val="22"/>
        </w:rPr>
        <w:t xml:space="preserve"> (</w:t>
      </w:r>
      <w:r w:rsidR="00F1232F">
        <w:rPr>
          <w:sz w:val="22"/>
        </w:rPr>
        <w:t>64</w:t>
      </w:r>
      <w:r w:rsidR="004C50A8" w:rsidRPr="000C4981">
        <w:rPr>
          <w:sz w:val="22"/>
        </w:rPr>
        <w:t xml:space="preserve">%) less defects on the </w:t>
      </w:r>
      <w:r w:rsidR="00FF70F3" w:rsidRPr="000C4981">
        <w:rPr>
          <w:sz w:val="22"/>
        </w:rPr>
        <w:t>f</w:t>
      </w:r>
      <w:r w:rsidRPr="000C4981">
        <w:rPr>
          <w:sz w:val="22"/>
        </w:rPr>
        <w:t xml:space="preserve">ootway </w:t>
      </w:r>
      <w:r w:rsidR="004C50A8" w:rsidRPr="000C4981">
        <w:rPr>
          <w:sz w:val="22"/>
        </w:rPr>
        <w:t>network in 201</w:t>
      </w:r>
      <w:r w:rsidR="00F1232F">
        <w:rPr>
          <w:sz w:val="22"/>
        </w:rPr>
        <w:t>7</w:t>
      </w:r>
      <w:r w:rsidR="004C50A8" w:rsidRPr="000C4981">
        <w:rPr>
          <w:sz w:val="22"/>
        </w:rPr>
        <w:t>-1</w:t>
      </w:r>
      <w:r w:rsidR="00F1232F">
        <w:rPr>
          <w:sz w:val="22"/>
        </w:rPr>
        <w:t>8</w:t>
      </w:r>
      <w:r w:rsidR="004C50A8" w:rsidRPr="000C4981">
        <w:rPr>
          <w:sz w:val="22"/>
        </w:rPr>
        <w:t xml:space="preserve"> compared to 2014-15.</w:t>
      </w:r>
    </w:p>
    <w:p w:rsidR="00F1232F" w:rsidRPr="008C2EDA" w:rsidRDefault="00F1232F" w:rsidP="00E150B2">
      <w:pPr>
        <w:pStyle w:val="ListParagraph"/>
        <w:numPr>
          <w:ilvl w:val="0"/>
          <w:numId w:val="4"/>
        </w:numPr>
        <w:ind w:left="357" w:hanging="357"/>
        <w:jc w:val="both"/>
        <w:rPr>
          <w:noProof/>
          <w:sz w:val="22"/>
          <w:lang w:eastAsia="en-GB"/>
        </w:rPr>
      </w:pPr>
      <w:r w:rsidRPr="008C2EDA">
        <w:rPr>
          <w:sz w:val="22"/>
        </w:rPr>
        <w:t>Due to a change in systems we are no longer able to separately identify footway claims from highway or other claims</w:t>
      </w:r>
      <w:r w:rsidR="008C2EDA">
        <w:rPr>
          <w:sz w:val="22"/>
        </w:rPr>
        <w:t>, so can no longer provide this information</w:t>
      </w:r>
      <w:r w:rsidRPr="008C2EDA">
        <w:rPr>
          <w:sz w:val="22"/>
        </w:rPr>
        <w:t xml:space="preserve">.  </w:t>
      </w:r>
    </w:p>
    <w:p w:rsidR="00732C6E" w:rsidRPr="00F1232F" w:rsidRDefault="00732C6E" w:rsidP="00E150B2">
      <w:pPr>
        <w:pStyle w:val="ListParagraph"/>
        <w:numPr>
          <w:ilvl w:val="0"/>
          <w:numId w:val="4"/>
        </w:numPr>
        <w:ind w:left="357" w:hanging="357"/>
        <w:jc w:val="both"/>
        <w:rPr>
          <w:noProof/>
          <w:sz w:val="22"/>
          <w:lang w:eastAsia="en-GB"/>
        </w:rPr>
      </w:pPr>
      <w:r w:rsidRPr="00F1232F">
        <w:rPr>
          <w:sz w:val="22"/>
        </w:rPr>
        <w:t>The estimated capital investment required to maintain the current rate of deterioration would be £2.5m per annum</w:t>
      </w:r>
      <w:r w:rsidR="0088676A" w:rsidRPr="00F1232F">
        <w:rPr>
          <w:sz w:val="22"/>
        </w:rPr>
        <w:t>.</w:t>
      </w:r>
    </w:p>
    <w:p w:rsidR="005953EB" w:rsidRPr="000C4981" w:rsidRDefault="00732C6E" w:rsidP="000C4981">
      <w:pPr>
        <w:pStyle w:val="ListParagraph"/>
        <w:numPr>
          <w:ilvl w:val="0"/>
          <w:numId w:val="4"/>
        </w:numPr>
        <w:ind w:left="357" w:hanging="357"/>
        <w:jc w:val="both"/>
        <w:rPr>
          <w:sz w:val="22"/>
        </w:rPr>
      </w:pPr>
      <w:r w:rsidRPr="000C4981">
        <w:rPr>
          <w:sz w:val="22"/>
        </w:rPr>
        <w:t>Investment is based firstly on maintaining the current condition of the network as far as is practical</w:t>
      </w:r>
      <w:r w:rsidR="00113287" w:rsidRPr="000C4981">
        <w:rPr>
          <w:sz w:val="22"/>
        </w:rPr>
        <w:t xml:space="preserve"> and s</w:t>
      </w:r>
      <w:r w:rsidRPr="000C4981">
        <w:rPr>
          <w:sz w:val="22"/>
        </w:rPr>
        <w:t xml:space="preserve">econdly, if resources allow, </w:t>
      </w:r>
      <w:r w:rsidR="0088676A" w:rsidRPr="000C4981">
        <w:rPr>
          <w:sz w:val="22"/>
        </w:rPr>
        <w:t xml:space="preserve">on </w:t>
      </w:r>
      <w:r w:rsidRPr="000C4981">
        <w:rPr>
          <w:sz w:val="22"/>
        </w:rPr>
        <w:t>bringing all district areas to the same county standard</w:t>
      </w:r>
      <w:r w:rsidR="0088676A" w:rsidRPr="000C4981">
        <w:rPr>
          <w:sz w:val="22"/>
        </w:rPr>
        <w:t>.</w:t>
      </w:r>
    </w:p>
    <w:p w:rsidR="00374D39" w:rsidRDefault="00374D39" w:rsidP="00FF70F3">
      <w:pPr>
        <w:spacing w:after="60" w:line="240" w:lineRule="auto"/>
        <w:jc w:val="both"/>
        <w:rPr>
          <w:sz w:val="22"/>
        </w:rPr>
      </w:pPr>
    </w:p>
    <w:p w:rsidR="000C4981" w:rsidRDefault="000C4981" w:rsidP="00FF70F3">
      <w:pPr>
        <w:spacing w:after="60" w:line="240" w:lineRule="auto"/>
        <w:jc w:val="both"/>
        <w:rPr>
          <w:sz w:val="22"/>
        </w:rPr>
      </w:pPr>
      <w:r>
        <w:rPr>
          <w:noProof/>
          <w:lang w:eastAsia="en-GB"/>
        </w:rPr>
        <w:drawing>
          <wp:inline distT="0" distB="0" distL="0" distR="0" wp14:anchorId="5D4C2BE7" wp14:editId="5EFFDAAB">
            <wp:extent cx="4192270" cy="2590800"/>
            <wp:effectExtent l="0" t="0" r="1778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232F" w:rsidRDefault="00F1232F" w:rsidP="00FF70F3">
      <w:pPr>
        <w:spacing w:after="60" w:line="240" w:lineRule="auto"/>
        <w:jc w:val="both"/>
        <w:rPr>
          <w:sz w:val="22"/>
        </w:rPr>
      </w:pPr>
    </w:p>
    <w:p w:rsidR="000C4981" w:rsidRDefault="00F1232F" w:rsidP="00FF70F3">
      <w:pPr>
        <w:spacing w:after="60" w:line="240" w:lineRule="auto"/>
        <w:jc w:val="both"/>
        <w:rPr>
          <w:sz w:val="22"/>
        </w:rPr>
      </w:pPr>
      <w:r>
        <w:rPr>
          <w:noProof/>
          <w:lang w:eastAsia="en-GB"/>
        </w:rPr>
        <w:drawing>
          <wp:inline distT="0" distB="0" distL="0" distR="0" wp14:anchorId="4DA23878" wp14:editId="635D2B2F">
            <wp:extent cx="4178300" cy="24003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32C6E" w:rsidRDefault="00732C6E" w:rsidP="00732C6E"/>
    <w:p w:rsidR="00732C6E" w:rsidRPr="0036310E" w:rsidRDefault="00732C6E" w:rsidP="007C1471">
      <w:pPr>
        <w:spacing w:after="0"/>
        <w:rPr>
          <w:b/>
          <w:szCs w:val="24"/>
        </w:rPr>
      </w:pPr>
      <w:r w:rsidRPr="0036310E">
        <w:rPr>
          <w:b/>
          <w:szCs w:val="24"/>
        </w:rPr>
        <w:t>Bridges and Similar Structures</w:t>
      </w:r>
    </w:p>
    <w:p w:rsidR="005514AD" w:rsidRPr="007C1471" w:rsidRDefault="005514AD" w:rsidP="00936F7E">
      <w:pPr>
        <w:spacing w:after="0"/>
        <w:jc w:val="both"/>
        <w:rPr>
          <w:sz w:val="20"/>
          <w:szCs w:val="20"/>
        </w:rPr>
      </w:pPr>
    </w:p>
    <w:p w:rsidR="005514AD" w:rsidRDefault="005514AD" w:rsidP="00936F7E">
      <w:pPr>
        <w:spacing w:after="0"/>
        <w:jc w:val="both"/>
        <w:rPr>
          <w:b/>
          <w:sz w:val="20"/>
          <w:szCs w:val="20"/>
        </w:rPr>
      </w:pPr>
      <w:r>
        <w:rPr>
          <w:b/>
        </w:rPr>
        <w:t xml:space="preserve">Most Cost Effective Strategy: </w:t>
      </w:r>
      <w:r w:rsidRPr="0036310E">
        <w:rPr>
          <w:b/>
          <w:sz w:val="22"/>
        </w:rPr>
        <w:t xml:space="preserve">Investment in </w:t>
      </w:r>
      <w:r>
        <w:rPr>
          <w:b/>
          <w:sz w:val="22"/>
        </w:rPr>
        <w:t xml:space="preserve">preventative </w:t>
      </w:r>
      <w:r w:rsidRPr="0036310E">
        <w:rPr>
          <w:b/>
          <w:sz w:val="22"/>
        </w:rPr>
        <w:t>maintenance which is not based on reconstruction of bridges but is based on appropriate</w:t>
      </w:r>
    </w:p>
    <w:p w:rsidR="005514AD" w:rsidRPr="007C1471" w:rsidRDefault="005514AD" w:rsidP="00936F7E">
      <w:pPr>
        <w:spacing w:after="0"/>
        <w:jc w:val="both"/>
        <w:rPr>
          <w:sz w:val="20"/>
          <w:szCs w:val="20"/>
        </w:rPr>
      </w:pPr>
    </w:p>
    <w:p w:rsidR="00936F7E" w:rsidRDefault="00936F7E" w:rsidP="00936F7E">
      <w:pPr>
        <w:spacing w:after="0"/>
        <w:jc w:val="both"/>
        <w:rPr>
          <w:b/>
          <w:sz w:val="22"/>
        </w:rPr>
      </w:pPr>
      <w:r>
        <w:rPr>
          <w:b/>
          <w:sz w:val="22"/>
        </w:rPr>
        <w:t>Summary</w:t>
      </w:r>
    </w:p>
    <w:p w:rsidR="00936F7E" w:rsidRPr="007C1471" w:rsidRDefault="00936F7E" w:rsidP="00936F7E">
      <w:pPr>
        <w:spacing w:after="0"/>
        <w:jc w:val="both"/>
        <w:rPr>
          <w:sz w:val="20"/>
          <w:szCs w:val="20"/>
        </w:rPr>
      </w:pPr>
    </w:p>
    <w:p w:rsidR="004B4BF4" w:rsidRPr="00BC59E6" w:rsidRDefault="00732C6E" w:rsidP="004B4BF4">
      <w:pPr>
        <w:pStyle w:val="ListParagraph"/>
        <w:numPr>
          <w:ilvl w:val="0"/>
          <w:numId w:val="5"/>
        </w:numPr>
        <w:spacing w:after="0"/>
        <w:ind w:left="357" w:hanging="357"/>
        <w:jc w:val="both"/>
        <w:rPr>
          <w:sz w:val="22"/>
        </w:rPr>
      </w:pPr>
      <w:r w:rsidRPr="00BC59E6">
        <w:rPr>
          <w:sz w:val="22"/>
        </w:rPr>
        <w:t>We have good condition information relating to the condition of th</w:t>
      </w:r>
      <w:r w:rsidR="004B4BF4">
        <w:rPr>
          <w:sz w:val="22"/>
        </w:rPr>
        <w:t xml:space="preserve">is </w:t>
      </w:r>
      <w:r w:rsidRPr="00BC59E6">
        <w:rPr>
          <w:sz w:val="22"/>
        </w:rPr>
        <w:t>asset</w:t>
      </w:r>
      <w:r w:rsidR="004B4BF4">
        <w:rPr>
          <w:sz w:val="22"/>
        </w:rPr>
        <w:t xml:space="preserve"> grouping.  We are </w:t>
      </w:r>
      <w:r w:rsidR="004B4BF4" w:rsidRPr="00BC59E6">
        <w:rPr>
          <w:sz w:val="22"/>
        </w:rPr>
        <w:t xml:space="preserve">responsible for </w:t>
      </w:r>
      <w:r w:rsidR="004B4BF4">
        <w:rPr>
          <w:sz w:val="22"/>
        </w:rPr>
        <w:t xml:space="preserve">approximately </w:t>
      </w:r>
      <w:r w:rsidR="004B4BF4" w:rsidRPr="00BC59E6">
        <w:rPr>
          <w:sz w:val="22"/>
        </w:rPr>
        <w:t xml:space="preserve">2,000 </w:t>
      </w:r>
      <w:r w:rsidR="004B4BF4">
        <w:rPr>
          <w:sz w:val="22"/>
        </w:rPr>
        <w:t xml:space="preserve">bridges and similar </w:t>
      </w:r>
      <w:r w:rsidR="004B4BF4" w:rsidRPr="00BC59E6">
        <w:rPr>
          <w:sz w:val="22"/>
        </w:rPr>
        <w:t>structures</w:t>
      </w:r>
      <w:r w:rsidR="004B4BF4">
        <w:rPr>
          <w:sz w:val="22"/>
        </w:rPr>
        <w:t>*,</w:t>
      </w:r>
    </w:p>
    <w:p w:rsidR="00732C6E" w:rsidRDefault="006020D1" w:rsidP="00976BA5">
      <w:pPr>
        <w:pStyle w:val="ListParagraph"/>
        <w:numPr>
          <w:ilvl w:val="0"/>
          <w:numId w:val="5"/>
        </w:numPr>
        <w:ind w:left="357" w:hanging="357"/>
        <w:jc w:val="both"/>
        <w:rPr>
          <w:sz w:val="22"/>
        </w:rPr>
      </w:pPr>
      <w:r>
        <w:rPr>
          <w:sz w:val="22"/>
        </w:rPr>
        <w:t xml:space="preserve">The </w:t>
      </w:r>
      <w:r w:rsidR="00732C6E" w:rsidRPr="00B86344">
        <w:rPr>
          <w:sz w:val="22"/>
        </w:rPr>
        <w:t xml:space="preserve">average bridge condition index </w:t>
      </w:r>
      <w:r>
        <w:rPr>
          <w:sz w:val="22"/>
        </w:rPr>
        <w:t xml:space="preserve">has improved from </w:t>
      </w:r>
      <w:r w:rsidR="00732C6E" w:rsidRPr="00B86344">
        <w:rPr>
          <w:sz w:val="22"/>
        </w:rPr>
        <w:t>89</w:t>
      </w:r>
      <w:r w:rsidR="00FD36B3">
        <w:rPr>
          <w:sz w:val="22"/>
        </w:rPr>
        <w:t>.</w:t>
      </w:r>
      <w:r w:rsidR="00567487">
        <w:rPr>
          <w:sz w:val="22"/>
        </w:rPr>
        <w:t>3</w:t>
      </w:r>
      <w:r>
        <w:rPr>
          <w:sz w:val="22"/>
        </w:rPr>
        <w:t xml:space="preserve"> in 2014 to </w:t>
      </w:r>
      <w:r w:rsidR="004B4BF4">
        <w:rPr>
          <w:sz w:val="22"/>
        </w:rPr>
        <w:t>89.</w:t>
      </w:r>
      <w:r w:rsidR="005C6052">
        <w:rPr>
          <w:sz w:val="22"/>
        </w:rPr>
        <w:t>67</w:t>
      </w:r>
      <w:r w:rsidR="00732C6E" w:rsidRPr="00B86344">
        <w:rPr>
          <w:sz w:val="22"/>
        </w:rPr>
        <w:t xml:space="preserve"> </w:t>
      </w:r>
      <w:r>
        <w:rPr>
          <w:sz w:val="22"/>
        </w:rPr>
        <w:t xml:space="preserve">in </w:t>
      </w:r>
      <w:r w:rsidR="00D50EF0">
        <w:rPr>
          <w:sz w:val="22"/>
        </w:rPr>
        <w:t>April 201</w:t>
      </w:r>
      <w:r w:rsidR="005C6052">
        <w:rPr>
          <w:sz w:val="22"/>
        </w:rPr>
        <w:t xml:space="preserve">8.  </w:t>
      </w:r>
      <w:r w:rsidR="004B4BF4">
        <w:rPr>
          <w:sz w:val="22"/>
        </w:rPr>
        <w:t>The overall condition of this asset is regarded as GOOD.</w:t>
      </w:r>
    </w:p>
    <w:p w:rsidR="00877A3E" w:rsidRDefault="00EE04DA" w:rsidP="00947712">
      <w:pPr>
        <w:pStyle w:val="ListParagraph"/>
        <w:numPr>
          <w:ilvl w:val="0"/>
          <w:numId w:val="5"/>
        </w:numPr>
        <w:ind w:left="357" w:hanging="357"/>
        <w:jc w:val="both"/>
        <w:rPr>
          <w:sz w:val="22"/>
        </w:rPr>
      </w:pPr>
      <w:r w:rsidRPr="00877A3E">
        <w:rPr>
          <w:sz w:val="22"/>
        </w:rPr>
        <w:t xml:space="preserve">The average bridge condition </w:t>
      </w:r>
      <w:r w:rsidR="00877A3E" w:rsidRPr="00877A3E">
        <w:rPr>
          <w:sz w:val="22"/>
        </w:rPr>
        <w:t xml:space="preserve">is regarded as </w:t>
      </w:r>
      <w:r w:rsidR="005C6052">
        <w:rPr>
          <w:sz w:val="22"/>
        </w:rPr>
        <w:t xml:space="preserve">EXCELLENT </w:t>
      </w:r>
      <w:r w:rsidR="00877A3E" w:rsidRPr="00877A3E">
        <w:rPr>
          <w:sz w:val="22"/>
        </w:rPr>
        <w:t xml:space="preserve">in </w:t>
      </w:r>
      <w:r w:rsidR="005C6052">
        <w:rPr>
          <w:sz w:val="22"/>
        </w:rPr>
        <w:t xml:space="preserve">Lancaster, Wyre, Pendle, Burnley, Chorley and Fylde.  </w:t>
      </w:r>
      <w:r w:rsidR="00877A3E" w:rsidRPr="00877A3E">
        <w:rPr>
          <w:sz w:val="22"/>
        </w:rPr>
        <w:t>In all other district areas the average bridge condition is regarded as EXCELLENT</w:t>
      </w:r>
      <w:r w:rsidR="00877A3E">
        <w:rPr>
          <w:sz w:val="22"/>
        </w:rPr>
        <w:t>.</w:t>
      </w:r>
    </w:p>
    <w:p w:rsidR="00732C6E" w:rsidRPr="00877A3E" w:rsidRDefault="00732C6E" w:rsidP="00947712">
      <w:pPr>
        <w:pStyle w:val="ListParagraph"/>
        <w:numPr>
          <w:ilvl w:val="0"/>
          <w:numId w:val="5"/>
        </w:numPr>
        <w:ind w:left="357" w:hanging="357"/>
        <w:jc w:val="both"/>
        <w:rPr>
          <w:sz w:val="22"/>
        </w:rPr>
      </w:pPr>
      <w:r w:rsidRPr="00877A3E">
        <w:rPr>
          <w:sz w:val="22"/>
        </w:rPr>
        <w:t>The investment strategy is based upon identifying bridges and similar structures which have a bridge condition index (critical or adjusted) of &lt; 40</w:t>
      </w:r>
      <w:r w:rsidR="001D2B8D" w:rsidRPr="00877A3E">
        <w:rPr>
          <w:sz w:val="22"/>
        </w:rPr>
        <w:t>**</w:t>
      </w:r>
      <w:r w:rsidRPr="00877A3E">
        <w:rPr>
          <w:sz w:val="22"/>
        </w:rPr>
        <w:t>, and producing action plans for each such structure</w:t>
      </w:r>
      <w:r w:rsidR="0088676A" w:rsidRPr="00877A3E">
        <w:rPr>
          <w:sz w:val="22"/>
        </w:rPr>
        <w:t>.</w:t>
      </w:r>
    </w:p>
    <w:p w:rsidR="00732C6E" w:rsidRDefault="00732C6E" w:rsidP="00976BA5">
      <w:pPr>
        <w:pStyle w:val="ListParagraph"/>
        <w:numPr>
          <w:ilvl w:val="0"/>
          <w:numId w:val="5"/>
        </w:numPr>
        <w:ind w:left="357" w:hanging="357"/>
        <w:jc w:val="both"/>
        <w:rPr>
          <w:sz w:val="20"/>
          <w:szCs w:val="20"/>
        </w:rPr>
      </w:pPr>
      <w:r w:rsidRPr="00B86344">
        <w:rPr>
          <w:sz w:val="22"/>
        </w:rPr>
        <w:t xml:space="preserve">On the basis of the bridge condition data, resources are allocated on the basis of need as individual projects are unlikely to be </w:t>
      </w:r>
      <w:r w:rsidR="0088676A">
        <w:rPr>
          <w:sz w:val="22"/>
        </w:rPr>
        <w:t>included</w:t>
      </w:r>
      <w:r w:rsidRPr="00B86344">
        <w:rPr>
          <w:sz w:val="22"/>
        </w:rPr>
        <w:t xml:space="preserve"> in any district based all</w:t>
      </w:r>
      <w:r w:rsidRPr="00BC59E6">
        <w:rPr>
          <w:sz w:val="22"/>
        </w:rPr>
        <w:t>ocation</w:t>
      </w:r>
      <w:r w:rsidRPr="00DF6A31">
        <w:rPr>
          <w:sz w:val="20"/>
          <w:szCs w:val="20"/>
        </w:rPr>
        <w:t>.</w:t>
      </w:r>
    </w:p>
    <w:p w:rsidR="001532DA" w:rsidRDefault="00732C6E" w:rsidP="00732C6E">
      <w:pPr>
        <w:jc w:val="both"/>
        <w:rPr>
          <w:sz w:val="22"/>
        </w:rPr>
      </w:pPr>
      <w:r w:rsidRPr="003746A7">
        <w:rPr>
          <w:sz w:val="22"/>
        </w:rPr>
        <w:t>*</w:t>
      </w:r>
      <w:r w:rsidR="00976BA5">
        <w:rPr>
          <w:sz w:val="22"/>
        </w:rPr>
        <w:t xml:space="preserve">Excludes </w:t>
      </w:r>
      <w:r w:rsidRPr="003746A7">
        <w:rPr>
          <w:sz w:val="22"/>
        </w:rPr>
        <w:t>maintenance of Network Rail bridges, major new projects o</w:t>
      </w:r>
      <w:r w:rsidR="00EB5F34">
        <w:rPr>
          <w:sz w:val="22"/>
        </w:rPr>
        <w:t>r</w:t>
      </w:r>
      <w:r w:rsidRPr="003746A7">
        <w:rPr>
          <w:sz w:val="22"/>
        </w:rPr>
        <w:t xml:space="preserve"> major refurbishments.</w:t>
      </w:r>
      <w:r w:rsidR="00976BA5">
        <w:rPr>
          <w:sz w:val="22"/>
        </w:rPr>
        <w:t xml:space="preserve"> </w:t>
      </w:r>
      <w:r w:rsidRPr="003746A7">
        <w:rPr>
          <w:sz w:val="22"/>
        </w:rPr>
        <w:t xml:space="preserve">**A bridge in poor condition does not </w:t>
      </w:r>
      <w:r w:rsidR="001532DA" w:rsidRPr="003746A7">
        <w:rPr>
          <w:sz w:val="22"/>
        </w:rPr>
        <w:t>necessarily require urgent remedial action and is not automatically at risk of failure or subject to load restrictions</w:t>
      </w:r>
      <w:r w:rsidR="001D2B8D">
        <w:rPr>
          <w:sz w:val="22"/>
        </w:rPr>
        <w:t>.</w:t>
      </w:r>
    </w:p>
    <w:p w:rsidR="001532DA" w:rsidRDefault="00960CA0" w:rsidP="00732C6E">
      <w:pPr>
        <w:jc w:val="both"/>
        <w:rPr>
          <w:sz w:val="22"/>
        </w:rPr>
      </w:pPr>
      <w:r w:rsidRPr="00517C33">
        <w:rPr>
          <w:noProof/>
          <w:sz w:val="20"/>
          <w:szCs w:val="20"/>
          <w:lang w:eastAsia="en-GB"/>
        </w:rPr>
        <w:drawing>
          <wp:inline distT="0" distB="0" distL="0" distR="0" wp14:anchorId="2A66A174" wp14:editId="3E4CA978">
            <wp:extent cx="4295775" cy="2316480"/>
            <wp:effectExtent l="0" t="0" r="9525" b="762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32C6E" w:rsidRDefault="00C566F2" w:rsidP="00732C6E">
      <w:pPr>
        <w:jc w:val="both"/>
        <w:rPr>
          <w:sz w:val="20"/>
          <w:szCs w:val="20"/>
        </w:rPr>
      </w:pPr>
      <w:r>
        <w:rPr>
          <w:noProof/>
          <w:lang w:eastAsia="en-GB"/>
        </w:rPr>
        <w:drawing>
          <wp:inline distT="0" distB="0" distL="0" distR="0" wp14:anchorId="00081456" wp14:editId="14659BD6">
            <wp:extent cx="4273550" cy="2673350"/>
            <wp:effectExtent l="0" t="0" r="1270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B5D09" w:rsidRDefault="00DB5D09" w:rsidP="00732C6E">
      <w:pPr>
        <w:jc w:val="both"/>
        <w:rPr>
          <w:sz w:val="20"/>
          <w:szCs w:val="20"/>
        </w:rPr>
      </w:pPr>
    </w:p>
    <w:p w:rsidR="0002172F" w:rsidRDefault="00732C6E" w:rsidP="004C1EA8">
      <w:pPr>
        <w:spacing w:after="120"/>
        <w:jc w:val="both"/>
        <w:rPr>
          <w:b/>
          <w:szCs w:val="24"/>
        </w:rPr>
        <w:sectPr w:rsidR="0002172F" w:rsidSect="00DE2E16">
          <w:type w:val="continuous"/>
          <w:pgSz w:w="16838" w:h="11906" w:orient="landscape"/>
          <w:pgMar w:top="1134" w:right="1134" w:bottom="1134" w:left="1134" w:header="709" w:footer="709" w:gutter="0"/>
          <w:cols w:num="2" w:space="708"/>
          <w:docGrid w:linePitch="360"/>
        </w:sectPr>
      </w:pPr>
      <w:r w:rsidRPr="00BC59E6">
        <w:rPr>
          <w:b/>
          <w:szCs w:val="24"/>
        </w:rPr>
        <w:t>Street Lighting</w:t>
      </w:r>
    </w:p>
    <w:p w:rsidR="0002172F" w:rsidRDefault="00732C6E" w:rsidP="008300BC">
      <w:pPr>
        <w:spacing w:after="0"/>
        <w:jc w:val="both"/>
        <w:rPr>
          <w:b/>
          <w:sz w:val="20"/>
          <w:szCs w:val="20"/>
        </w:rPr>
      </w:pPr>
      <w:r w:rsidRPr="00BC59E6">
        <w:rPr>
          <w:b/>
          <w:szCs w:val="24"/>
        </w:rPr>
        <w:t xml:space="preserve">Most </w:t>
      </w:r>
      <w:r w:rsidR="00EB5F34">
        <w:rPr>
          <w:b/>
          <w:szCs w:val="24"/>
        </w:rPr>
        <w:t xml:space="preserve">Cost </w:t>
      </w:r>
      <w:r w:rsidRPr="00BC59E6">
        <w:rPr>
          <w:b/>
          <w:szCs w:val="24"/>
        </w:rPr>
        <w:t>Effective Strategy</w:t>
      </w:r>
      <w:r w:rsidRPr="00BC59E6">
        <w:rPr>
          <w:b/>
          <w:sz w:val="22"/>
        </w:rPr>
        <w:t xml:space="preserve">: </w:t>
      </w:r>
      <w:r>
        <w:rPr>
          <w:b/>
          <w:sz w:val="22"/>
        </w:rPr>
        <w:t xml:space="preserve">The risk to the public from a column falling over is generally </w:t>
      </w:r>
      <w:r w:rsidR="0009123F">
        <w:rPr>
          <w:b/>
          <w:sz w:val="22"/>
        </w:rPr>
        <w:t>low;</w:t>
      </w:r>
      <w:r>
        <w:rPr>
          <w:b/>
          <w:sz w:val="22"/>
        </w:rPr>
        <w:t xml:space="preserve"> however, half of our columns exceed the age when they should be regularly tested or considered for replacement or removal.</w:t>
      </w:r>
      <w:r w:rsidR="0002172F">
        <w:rPr>
          <w:b/>
          <w:sz w:val="22"/>
        </w:rPr>
        <w:t xml:space="preserve">  The best strategy is to reduce the likelihood of </w:t>
      </w:r>
      <w:r w:rsidR="0002172F" w:rsidRPr="00BC59E6">
        <w:rPr>
          <w:b/>
          <w:sz w:val="22"/>
        </w:rPr>
        <w:t>column</w:t>
      </w:r>
      <w:r w:rsidR="0002172F">
        <w:rPr>
          <w:b/>
          <w:sz w:val="22"/>
        </w:rPr>
        <w:t>s</w:t>
      </w:r>
      <w:r w:rsidR="0002172F" w:rsidRPr="00BC59E6">
        <w:rPr>
          <w:b/>
          <w:sz w:val="22"/>
        </w:rPr>
        <w:t xml:space="preserve"> falling over</w:t>
      </w:r>
      <w:r w:rsidR="0002172F">
        <w:rPr>
          <w:b/>
          <w:sz w:val="22"/>
        </w:rPr>
        <w:t xml:space="preserve"> by </w:t>
      </w:r>
      <w:r w:rsidR="0002172F" w:rsidRPr="00BC59E6">
        <w:rPr>
          <w:b/>
          <w:sz w:val="22"/>
        </w:rPr>
        <w:t xml:space="preserve">either replacing </w:t>
      </w:r>
      <w:r w:rsidR="0002172F">
        <w:rPr>
          <w:b/>
          <w:sz w:val="22"/>
        </w:rPr>
        <w:t xml:space="preserve">or removing </w:t>
      </w:r>
      <w:r w:rsidR="0002172F" w:rsidRPr="00BC59E6">
        <w:rPr>
          <w:b/>
          <w:sz w:val="22"/>
        </w:rPr>
        <w:t xml:space="preserve">the </w:t>
      </w:r>
      <w:r w:rsidR="0002172F">
        <w:rPr>
          <w:b/>
          <w:sz w:val="22"/>
        </w:rPr>
        <w:t xml:space="preserve">highest </w:t>
      </w:r>
      <w:r w:rsidR="0002172F" w:rsidRPr="00BC59E6">
        <w:rPr>
          <w:b/>
          <w:sz w:val="22"/>
        </w:rPr>
        <w:t>risk columns or removal of columns without replacement</w:t>
      </w:r>
      <w:r w:rsidR="0002172F">
        <w:rPr>
          <w:b/>
          <w:sz w:val="20"/>
          <w:szCs w:val="20"/>
        </w:rPr>
        <w:t>.</w:t>
      </w:r>
    </w:p>
    <w:p w:rsidR="00447782" w:rsidRDefault="00447782" w:rsidP="006D6C95">
      <w:pPr>
        <w:spacing w:after="0" w:line="240" w:lineRule="auto"/>
        <w:jc w:val="both"/>
        <w:rPr>
          <w:b/>
          <w:sz w:val="20"/>
          <w:szCs w:val="20"/>
        </w:rPr>
      </w:pPr>
    </w:p>
    <w:p w:rsidR="00187ECF" w:rsidRPr="00D93FA1" w:rsidRDefault="0024303C" w:rsidP="006D6C95">
      <w:pPr>
        <w:spacing w:after="0" w:line="240" w:lineRule="auto"/>
        <w:jc w:val="both"/>
        <w:rPr>
          <w:b/>
          <w:sz w:val="16"/>
          <w:szCs w:val="16"/>
        </w:rPr>
      </w:pPr>
      <w:r>
        <w:rPr>
          <w:noProof/>
          <w:lang w:eastAsia="en-GB"/>
        </w:rPr>
        <w:drawing>
          <wp:inline distT="0" distB="0" distL="0" distR="0" wp14:anchorId="7D24C5B5" wp14:editId="3B81ADF6">
            <wp:extent cx="9251950" cy="280035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2172F" w:rsidRDefault="0002172F" w:rsidP="006D6C95">
      <w:pPr>
        <w:spacing w:after="120"/>
        <w:jc w:val="both"/>
        <w:rPr>
          <w:b/>
          <w:sz w:val="22"/>
        </w:rPr>
        <w:sectPr w:rsidR="0002172F" w:rsidSect="0002172F">
          <w:type w:val="continuous"/>
          <w:pgSz w:w="16838" w:h="11906" w:orient="landscape"/>
          <w:pgMar w:top="1134" w:right="1134" w:bottom="1134" w:left="1134" w:header="709" w:footer="709" w:gutter="0"/>
          <w:cols w:space="708"/>
          <w:docGrid w:linePitch="360"/>
        </w:sectPr>
      </w:pPr>
      <w:r>
        <w:rPr>
          <w:b/>
          <w:sz w:val="22"/>
        </w:rPr>
        <w:t>Summary</w:t>
      </w:r>
    </w:p>
    <w:p w:rsidR="00732C6E" w:rsidRPr="00DA293B" w:rsidRDefault="00732C6E" w:rsidP="00D93FA1">
      <w:pPr>
        <w:pStyle w:val="ListParagraph"/>
        <w:numPr>
          <w:ilvl w:val="0"/>
          <w:numId w:val="6"/>
        </w:numPr>
        <w:spacing w:after="0"/>
        <w:ind w:left="357" w:hanging="357"/>
        <w:jc w:val="both"/>
        <w:rPr>
          <w:sz w:val="22"/>
        </w:rPr>
      </w:pPr>
      <w:r w:rsidRPr="00F345F4">
        <w:rPr>
          <w:sz w:val="22"/>
        </w:rPr>
        <w:t xml:space="preserve">We are responsible for approximately </w:t>
      </w:r>
      <w:r w:rsidR="00B60981" w:rsidRPr="00DA293B">
        <w:rPr>
          <w:sz w:val="22"/>
        </w:rPr>
        <w:t>1</w:t>
      </w:r>
      <w:r w:rsidR="00C65605" w:rsidRPr="00DA293B">
        <w:rPr>
          <w:sz w:val="22"/>
        </w:rPr>
        <w:t>50</w:t>
      </w:r>
      <w:r w:rsidR="00B60981" w:rsidRPr="00DA293B">
        <w:rPr>
          <w:sz w:val="22"/>
        </w:rPr>
        <w:t>,</w:t>
      </w:r>
      <w:r w:rsidR="000D3A17" w:rsidRPr="00DA293B">
        <w:rPr>
          <w:sz w:val="22"/>
        </w:rPr>
        <w:t>00</w:t>
      </w:r>
      <w:r w:rsidR="00C431AC" w:rsidRPr="00DA293B">
        <w:rPr>
          <w:sz w:val="22"/>
        </w:rPr>
        <w:t>0</w:t>
      </w:r>
      <w:r w:rsidR="00B60981" w:rsidRPr="00DA293B">
        <w:rPr>
          <w:sz w:val="22"/>
        </w:rPr>
        <w:t xml:space="preserve"> </w:t>
      </w:r>
      <w:r w:rsidRPr="00DA293B">
        <w:rPr>
          <w:sz w:val="22"/>
        </w:rPr>
        <w:t>street lights</w:t>
      </w:r>
      <w:r w:rsidR="00B60981" w:rsidRPr="00DA293B">
        <w:rPr>
          <w:sz w:val="22"/>
        </w:rPr>
        <w:t xml:space="preserve"> and 1</w:t>
      </w:r>
      <w:r w:rsidR="00C65605" w:rsidRPr="00DA293B">
        <w:rPr>
          <w:sz w:val="22"/>
        </w:rPr>
        <w:t>8</w:t>
      </w:r>
      <w:r w:rsidR="00B60981" w:rsidRPr="00DA293B">
        <w:rPr>
          <w:sz w:val="22"/>
        </w:rPr>
        <w:t>,</w:t>
      </w:r>
      <w:r w:rsidR="00C65605" w:rsidRPr="00DA293B">
        <w:rPr>
          <w:sz w:val="22"/>
        </w:rPr>
        <w:t>4</w:t>
      </w:r>
      <w:r w:rsidR="00C431AC" w:rsidRPr="00DA293B">
        <w:rPr>
          <w:sz w:val="22"/>
        </w:rPr>
        <w:t>00</w:t>
      </w:r>
      <w:r w:rsidRPr="00DA293B">
        <w:rPr>
          <w:sz w:val="22"/>
        </w:rPr>
        <w:t xml:space="preserve"> illuminated signs, bollards and similar installations</w:t>
      </w:r>
      <w:r w:rsidR="002750FB" w:rsidRPr="00DA293B">
        <w:rPr>
          <w:sz w:val="22"/>
        </w:rPr>
        <w:t>.</w:t>
      </w:r>
    </w:p>
    <w:p w:rsidR="00732C6E" w:rsidRPr="00DA293B" w:rsidRDefault="00D93FA1" w:rsidP="00D93FA1">
      <w:pPr>
        <w:pStyle w:val="ListParagraph"/>
        <w:numPr>
          <w:ilvl w:val="0"/>
          <w:numId w:val="6"/>
        </w:numPr>
        <w:spacing w:after="0"/>
        <w:ind w:left="357" w:hanging="357"/>
        <w:jc w:val="both"/>
        <w:rPr>
          <w:sz w:val="22"/>
        </w:rPr>
      </w:pPr>
      <w:r w:rsidRPr="00DA293B">
        <w:rPr>
          <w:sz w:val="22"/>
        </w:rPr>
        <w:t>Our electricity bill for these items is in the re</w:t>
      </w:r>
      <w:r w:rsidR="00C431AC" w:rsidRPr="00DA293B">
        <w:rPr>
          <w:sz w:val="22"/>
        </w:rPr>
        <w:t xml:space="preserve">gion </w:t>
      </w:r>
      <w:r w:rsidR="00D82573" w:rsidRPr="00DA293B">
        <w:rPr>
          <w:sz w:val="22"/>
        </w:rPr>
        <w:t xml:space="preserve">of £5m </w:t>
      </w:r>
      <w:r w:rsidR="00732C6E" w:rsidRPr="00DA293B">
        <w:rPr>
          <w:sz w:val="22"/>
        </w:rPr>
        <w:t xml:space="preserve">per </w:t>
      </w:r>
      <w:r w:rsidRPr="00DA293B">
        <w:rPr>
          <w:sz w:val="22"/>
        </w:rPr>
        <w:t>annum,</w:t>
      </w:r>
    </w:p>
    <w:p w:rsidR="00FE2888" w:rsidRPr="00DA293B" w:rsidRDefault="00FE2888" w:rsidP="00D93FA1">
      <w:pPr>
        <w:pStyle w:val="ListParagraph"/>
        <w:numPr>
          <w:ilvl w:val="0"/>
          <w:numId w:val="6"/>
        </w:numPr>
        <w:spacing w:after="0"/>
        <w:ind w:left="357" w:hanging="357"/>
        <w:jc w:val="both"/>
        <w:rPr>
          <w:sz w:val="22"/>
        </w:rPr>
      </w:pPr>
      <w:r w:rsidRPr="00DA293B">
        <w:rPr>
          <w:sz w:val="22"/>
        </w:rPr>
        <w:t xml:space="preserve">According to the </w:t>
      </w:r>
      <w:r w:rsidR="008300BC" w:rsidRPr="00DA293B">
        <w:rPr>
          <w:sz w:val="22"/>
        </w:rPr>
        <w:t xml:space="preserve">risk assessment contained in the Institute of Lighting Professionals Technical Report 22 </w:t>
      </w:r>
      <w:r w:rsidR="002750FB" w:rsidRPr="00DA293B">
        <w:rPr>
          <w:sz w:val="22"/>
        </w:rPr>
        <w:t>'</w:t>
      </w:r>
      <w:r w:rsidR="008300BC" w:rsidRPr="00DA293B">
        <w:rPr>
          <w:sz w:val="22"/>
        </w:rPr>
        <w:t>Managing a Vital Asset</w:t>
      </w:r>
      <w:r w:rsidR="002750FB" w:rsidRPr="00DA293B">
        <w:rPr>
          <w:sz w:val="22"/>
        </w:rPr>
        <w:t>'</w:t>
      </w:r>
      <w:r w:rsidR="008300BC" w:rsidRPr="00DA293B">
        <w:rPr>
          <w:sz w:val="22"/>
        </w:rPr>
        <w:t xml:space="preserve"> </w:t>
      </w:r>
      <w:r w:rsidR="00DA2828" w:rsidRPr="00DA293B">
        <w:rPr>
          <w:sz w:val="22"/>
        </w:rPr>
        <w:t>3</w:t>
      </w:r>
      <w:r w:rsidR="00D82573" w:rsidRPr="00DA293B">
        <w:rPr>
          <w:sz w:val="22"/>
        </w:rPr>
        <w:t>5</w:t>
      </w:r>
      <w:r w:rsidRPr="00DA293B">
        <w:rPr>
          <w:sz w:val="22"/>
        </w:rPr>
        <w:t xml:space="preserve">% of lighting columns have now exceeded their </w:t>
      </w:r>
      <w:r w:rsidR="002750FB" w:rsidRPr="00DA293B">
        <w:rPr>
          <w:sz w:val="22"/>
        </w:rPr>
        <w:t>'</w:t>
      </w:r>
      <w:r w:rsidRPr="00DA293B">
        <w:rPr>
          <w:sz w:val="22"/>
        </w:rPr>
        <w:t>Action Age</w:t>
      </w:r>
      <w:r w:rsidR="002750FB" w:rsidRPr="00DA293B">
        <w:rPr>
          <w:sz w:val="22"/>
        </w:rPr>
        <w:t>'</w:t>
      </w:r>
      <w:r w:rsidR="004B4BF4" w:rsidRPr="00DA293B">
        <w:rPr>
          <w:sz w:val="22"/>
        </w:rPr>
        <w:t>.</w:t>
      </w:r>
    </w:p>
    <w:p w:rsidR="006A37FE" w:rsidRPr="00DA293B" w:rsidRDefault="004B4BF4" w:rsidP="00D93FA1">
      <w:pPr>
        <w:pStyle w:val="ListParagraph"/>
        <w:numPr>
          <w:ilvl w:val="0"/>
          <w:numId w:val="6"/>
        </w:numPr>
        <w:spacing w:after="0"/>
        <w:ind w:left="357" w:hanging="357"/>
        <w:jc w:val="both"/>
        <w:rPr>
          <w:sz w:val="22"/>
        </w:rPr>
      </w:pPr>
      <w:r w:rsidRPr="00DA293B">
        <w:rPr>
          <w:sz w:val="22"/>
        </w:rPr>
        <w:t>Approximately 1</w:t>
      </w:r>
      <w:r w:rsidR="00D82573" w:rsidRPr="00DA293B">
        <w:rPr>
          <w:sz w:val="22"/>
        </w:rPr>
        <w:t>5</w:t>
      </w:r>
      <w:r w:rsidRPr="00DA293B">
        <w:rPr>
          <w:sz w:val="22"/>
        </w:rPr>
        <w:t xml:space="preserve">% </w:t>
      </w:r>
      <w:r w:rsidR="006A37FE" w:rsidRPr="00DA293B">
        <w:rPr>
          <w:sz w:val="22"/>
        </w:rPr>
        <w:t xml:space="preserve">of columns are classed as being either medium or high priority for replacement.  The number of medium/high risk columns has reduced from </w:t>
      </w:r>
      <w:r w:rsidR="00D82573" w:rsidRPr="00DA293B">
        <w:rPr>
          <w:sz w:val="22"/>
        </w:rPr>
        <w:t>24</w:t>
      </w:r>
      <w:r w:rsidR="006A37FE" w:rsidRPr="00DA293B">
        <w:rPr>
          <w:sz w:val="22"/>
        </w:rPr>
        <w:t>,</w:t>
      </w:r>
      <w:r w:rsidR="00D82573" w:rsidRPr="00DA293B">
        <w:rPr>
          <w:sz w:val="22"/>
        </w:rPr>
        <w:t>059</w:t>
      </w:r>
      <w:r w:rsidR="006A37FE" w:rsidRPr="00DA293B">
        <w:rPr>
          <w:sz w:val="22"/>
        </w:rPr>
        <w:t xml:space="preserve"> to 2</w:t>
      </w:r>
      <w:r w:rsidR="00D82573" w:rsidRPr="00DA293B">
        <w:rPr>
          <w:sz w:val="22"/>
        </w:rPr>
        <w:t>3,500</w:t>
      </w:r>
      <w:r w:rsidR="006A37FE" w:rsidRPr="00DA293B">
        <w:rPr>
          <w:sz w:val="22"/>
        </w:rPr>
        <w:t xml:space="preserve"> over the past 12 months, a reduction of </w:t>
      </w:r>
      <w:r w:rsidR="00D82573" w:rsidRPr="00DA293B">
        <w:rPr>
          <w:sz w:val="22"/>
        </w:rPr>
        <w:t>just over 2</w:t>
      </w:r>
      <w:r w:rsidR="006A37FE" w:rsidRPr="00DA293B">
        <w:rPr>
          <w:sz w:val="22"/>
        </w:rPr>
        <w:t>%</w:t>
      </w:r>
    </w:p>
    <w:p w:rsidR="00732C6E" w:rsidRPr="00DA293B" w:rsidRDefault="00732C6E" w:rsidP="00D93FA1">
      <w:pPr>
        <w:pStyle w:val="ListParagraph"/>
        <w:numPr>
          <w:ilvl w:val="0"/>
          <w:numId w:val="11"/>
        </w:numPr>
        <w:spacing w:after="0"/>
        <w:ind w:left="357" w:hanging="357"/>
        <w:jc w:val="both"/>
        <w:rPr>
          <w:sz w:val="22"/>
        </w:rPr>
      </w:pPr>
      <w:r w:rsidRPr="00DA293B">
        <w:rPr>
          <w:sz w:val="22"/>
        </w:rPr>
        <w:t xml:space="preserve">The current condition of the stock is considered to be </w:t>
      </w:r>
      <w:r w:rsidR="00342F00" w:rsidRPr="00DA293B">
        <w:rPr>
          <w:sz w:val="22"/>
        </w:rPr>
        <w:t>GOOD</w:t>
      </w:r>
      <w:r w:rsidR="002750FB" w:rsidRPr="00DA293B">
        <w:rPr>
          <w:sz w:val="22"/>
        </w:rPr>
        <w:t>.</w:t>
      </w:r>
    </w:p>
    <w:p w:rsidR="00447782" w:rsidRPr="00DA293B" w:rsidRDefault="00732C6E" w:rsidP="00D93FA1">
      <w:pPr>
        <w:pStyle w:val="ListParagraph"/>
        <w:numPr>
          <w:ilvl w:val="0"/>
          <w:numId w:val="11"/>
        </w:numPr>
        <w:spacing w:after="0"/>
        <w:ind w:left="357" w:hanging="357"/>
        <w:jc w:val="both"/>
        <w:rPr>
          <w:sz w:val="22"/>
        </w:rPr>
      </w:pPr>
      <w:r w:rsidRPr="00DA293B">
        <w:rPr>
          <w:sz w:val="22"/>
        </w:rPr>
        <w:t>In order to maintain the current rate of deterioration of the stock</w:t>
      </w:r>
      <w:r w:rsidR="002750FB" w:rsidRPr="00DA293B">
        <w:rPr>
          <w:sz w:val="22"/>
        </w:rPr>
        <w:t>,</w:t>
      </w:r>
      <w:r w:rsidRPr="00DA293B">
        <w:rPr>
          <w:sz w:val="22"/>
        </w:rPr>
        <w:t xml:space="preserve"> it is estimated that a capital investment of the order of £6m per annum would be required</w:t>
      </w:r>
      <w:r w:rsidR="002750FB" w:rsidRPr="00DA293B">
        <w:rPr>
          <w:sz w:val="22"/>
        </w:rPr>
        <w:t>.</w:t>
      </w:r>
      <w:r w:rsidR="00D93FA1" w:rsidRPr="00DA293B">
        <w:rPr>
          <w:sz w:val="22"/>
        </w:rPr>
        <w:t xml:space="preserve">  </w:t>
      </w:r>
      <w:r w:rsidRPr="00DA293B">
        <w:rPr>
          <w:sz w:val="22"/>
        </w:rPr>
        <w:t>The likely capital investment available for 201</w:t>
      </w:r>
      <w:r w:rsidR="00D82573" w:rsidRPr="00DA293B">
        <w:rPr>
          <w:sz w:val="22"/>
        </w:rPr>
        <w:t>8</w:t>
      </w:r>
      <w:r w:rsidRPr="00DA293B">
        <w:rPr>
          <w:sz w:val="22"/>
        </w:rPr>
        <w:t>/1</w:t>
      </w:r>
      <w:r w:rsidR="00D82573" w:rsidRPr="00DA293B">
        <w:rPr>
          <w:sz w:val="22"/>
        </w:rPr>
        <w:t>9</w:t>
      </w:r>
      <w:r w:rsidRPr="00DA293B">
        <w:rPr>
          <w:sz w:val="22"/>
        </w:rPr>
        <w:t xml:space="preserve"> is £1m</w:t>
      </w:r>
      <w:r w:rsidR="00EB5F34" w:rsidRPr="00DA293B">
        <w:rPr>
          <w:sz w:val="22"/>
        </w:rPr>
        <w:t>.</w:t>
      </w:r>
    </w:p>
    <w:p w:rsidR="00D93FA1" w:rsidRPr="00D93FA1" w:rsidRDefault="00D93FA1" w:rsidP="00D93FA1">
      <w:pPr>
        <w:pStyle w:val="ListParagraph"/>
        <w:spacing w:after="0"/>
        <w:ind w:left="357"/>
        <w:rPr>
          <w:sz w:val="22"/>
        </w:rPr>
      </w:pPr>
    </w:p>
    <w:p w:rsidR="0002172F" w:rsidRPr="0002172F" w:rsidRDefault="0002172F" w:rsidP="0002172F">
      <w:pPr>
        <w:spacing w:after="0"/>
        <w:rPr>
          <w:sz w:val="22"/>
        </w:rPr>
        <w:sectPr w:rsidR="0002172F" w:rsidRPr="0002172F" w:rsidSect="00DE2E16">
          <w:type w:val="continuous"/>
          <w:pgSz w:w="16838" w:h="11906" w:orient="landscape"/>
          <w:pgMar w:top="1134" w:right="1134" w:bottom="1134" w:left="1134" w:header="709" w:footer="709" w:gutter="0"/>
          <w:cols w:num="2" w:space="708"/>
          <w:docGrid w:linePitch="360"/>
        </w:sectPr>
      </w:pPr>
    </w:p>
    <w:p w:rsidR="008300BC" w:rsidRDefault="008300BC" w:rsidP="00C15ABA">
      <w:pPr>
        <w:spacing w:line="240" w:lineRule="auto"/>
        <w:rPr>
          <w:b/>
        </w:rPr>
        <w:sectPr w:rsidR="008300BC" w:rsidSect="00DE2E16">
          <w:type w:val="continuous"/>
          <w:pgSz w:w="16838" w:h="11906" w:orient="landscape"/>
          <w:pgMar w:top="1134" w:right="1134" w:bottom="1134" w:left="1134" w:header="709" w:footer="709" w:gutter="0"/>
          <w:cols w:num="2" w:space="708"/>
          <w:docGrid w:linePitch="360"/>
        </w:sectPr>
      </w:pPr>
      <w:r>
        <w:rPr>
          <w:b/>
        </w:rPr>
        <w:t>T</w:t>
      </w:r>
      <w:r w:rsidR="00732C6E" w:rsidRPr="00CE0408">
        <w:rPr>
          <w:b/>
        </w:rPr>
        <w:t xml:space="preserve">raffic Signals </w:t>
      </w:r>
    </w:p>
    <w:p w:rsidR="00732C6E" w:rsidRDefault="00732C6E" w:rsidP="00C15ABA">
      <w:pPr>
        <w:spacing w:after="0"/>
        <w:jc w:val="both"/>
        <w:rPr>
          <w:b/>
          <w:sz w:val="20"/>
          <w:szCs w:val="20"/>
        </w:rPr>
      </w:pPr>
      <w:r w:rsidRPr="00CE0408">
        <w:rPr>
          <w:b/>
          <w:szCs w:val="24"/>
        </w:rPr>
        <w:t>Most Cost Effective Strategy</w:t>
      </w:r>
      <w:r w:rsidRPr="00CE0408">
        <w:rPr>
          <w:b/>
          <w:sz w:val="22"/>
        </w:rPr>
        <w:t xml:space="preserve">: Investment in </w:t>
      </w:r>
      <w:r w:rsidR="00D00DA6">
        <w:rPr>
          <w:b/>
          <w:sz w:val="22"/>
        </w:rPr>
        <w:t>preventative</w:t>
      </w:r>
      <w:r w:rsidRPr="00CE0408">
        <w:rPr>
          <w:b/>
          <w:sz w:val="22"/>
        </w:rPr>
        <w:t xml:space="preserve"> maintenance which is based on replacement of obsolete units at key </w:t>
      </w:r>
      <w:r>
        <w:rPr>
          <w:b/>
          <w:sz w:val="22"/>
        </w:rPr>
        <w:t>junction</w:t>
      </w:r>
      <w:r w:rsidRPr="00CE0408">
        <w:rPr>
          <w:b/>
          <w:sz w:val="22"/>
        </w:rPr>
        <w:t xml:space="preserve">s which will not be </w:t>
      </w:r>
      <w:r>
        <w:rPr>
          <w:b/>
          <w:sz w:val="22"/>
        </w:rPr>
        <w:t>covered by</w:t>
      </w:r>
      <w:r w:rsidR="008300BC">
        <w:rPr>
          <w:b/>
          <w:sz w:val="22"/>
        </w:rPr>
        <w:t xml:space="preserve"> Highways and Transport M</w:t>
      </w:r>
      <w:r w:rsidRPr="00CE0408">
        <w:rPr>
          <w:b/>
          <w:sz w:val="22"/>
        </w:rPr>
        <w:t>asterplan activities</w:t>
      </w:r>
      <w:r>
        <w:rPr>
          <w:b/>
          <w:sz w:val="20"/>
          <w:szCs w:val="20"/>
        </w:rPr>
        <w:t>.</w:t>
      </w:r>
    </w:p>
    <w:p w:rsidR="00C15ABA" w:rsidRDefault="00C15ABA" w:rsidP="00C15ABA">
      <w:pPr>
        <w:spacing w:after="0"/>
        <w:jc w:val="both"/>
        <w:rPr>
          <w:b/>
          <w:sz w:val="20"/>
          <w:szCs w:val="20"/>
        </w:rPr>
      </w:pPr>
    </w:p>
    <w:p w:rsidR="00983D12" w:rsidRDefault="00EE787A" w:rsidP="00C15ABA">
      <w:pPr>
        <w:spacing w:after="0"/>
        <w:jc w:val="both"/>
        <w:rPr>
          <w:b/>
          <w:sz w:val="20"/>
          <w:szCs w:val="20"/>
        </w:rPr>
      </w:pPr>
      <w:r>
        <w:rPr>
          <w:noProof/>
          <w:lang w:eastAsia="en-GB"/>
        </w:rPr>
        <w:drawing>
          <wp:inline distT="0" distB="0" distL="0" distR="0" wp14:anchorId="33030BCA" wp14:editId="564D43E7">
            <wp:extent cx="9290050" cy="2813050"/>
            <wp:effectExtent l="0" t="0" r="6350" b="63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737DD" w:rsidRDefault="00D737DD" w:rsidP="00552530">
      <w:pPr>
        <w:spacing w:after="0" w:line="240" w:lineRule="auto"/>
        <w:jc w:val="both"/>
        <w:rPr>
          <w:b/>
          <w:sz w:val="20"/>
          <w:szCs w:val="20"/>
        </w:rPr>
      </w:pPr>
    </w:p>
    <w:p w:rsidR="00B635BE" w:rsidRPr="00CD2EE1" w:rsidRDefault="00B635BE" w:rsidP="00B635BE">
      <w:pPr>
        <w:spacing w:after="0"/>
        <w:jc w:val="both"/>
        <w:rPr>
          <w:b/>
          <w:sz w:val="22"/>
        </w:rPr>
        <w:sectPr w:rsidR="00B635BE" w:rsidRPr="00CD2EE1" w:rsidSect="008300BC">
          <w:type w:val="continuous"/>
          <w:pgSz w:w="16838" w:h="11906" w:orient="landscape"/>
          <w:pgMar w:top="1134" w:right="1134" w:bottom="1134" w:left="1134" w:header="709" w:footer="709" w:gutter="0"/>
          <w:cols w:space="708"/>
          <w:docGrid w:linePitch="360"/>
        </w:sectPr>
      </w:pPr>
      <w:r w:rsidRPr="00CD2EE1">
        <w:rPr>
          <w:b/>
          <w:sz w:val="22"/>
        </w:rPr>
        <w:t>Summary</w:t>
      </w:r>
    </w:p>
    <w:p w:rsidR="00732C6E" w:rsidRPr="00CD2EE1" w:rsidRDefault="00732C6E" w:rsidP="00101371">
      <w:pPr>
        <w:pStyle w:val="ListParagraph"/>
        <w:numPr>
          <w:ilvl w:val="0"/>
          <w:numId w:val="9"/>
        </w:numPr>
        <w:spacing w:after="0"/>
        <w:ind w:left="363" w:hanging="363"/>
        <w:jc w:val="both"/>
        <w:rPr>
          <w:sz w:val="22"/>
        </w:rPr>
      </w:pPr>
      <w:r w:rsidRPr="00CD2EE1">
        <w:rPr>
          <w:sz w:val="22"/>
        </w:rPr>
        <w:t xml:space="preserve">There are </w:t>
      </w:r>
      <w:r w:rsidR="000D3A17" w:rsidRPr="00CD2EE1">
        <w:rPr>
          <w:sz w:val="22"/>
        </w:rPr>
        <w:t>6</w:t>
      </w:r>
      <w:r w:rsidR="00EE787A">
        <w:rPr>
          <w:sz w:val="22"/>
        </w:rPr>
        <w:t>87</w:t>
      </w:r>
      <w:r w:rsidRPr="00CD2EE1">
        <w:rPr>
          <w:sz w:val="22"/>
        </w:rPr>
        <w:t xml:space="preserve"> sites in Lancashire which are controlled by traffic signal </w:t>
      </w:r>
      <w:r w:rsidR="000D3A17" w:rsidRPr="00CD2EE1">
        <w:rPr>
          <w:sz w:val="22"/>
        </w:rPr>
        <w:t xml:space="preserve">and/or </w:t>
      </w:r>
      <w:r w:rsidRPr="00CD2EE1">
        <w:rPr>
          <w:sz w:val="22"/>
        </w:rPr>
        <w:t>pelican crossing installations</w:t>
      </w:r>
      <w:r w:rsidR="002750FB" w:rsidRPr="00CD2EE1">
        <w:rPr>
          <w:sz w:val="22"/>
        </w:rPr>
        <w:t>.</w:t>
      </w:r>
    </w:p>
    <w:p w:rsidR="00732C6E" w:rsidRPr="00CD2EE1" w:rsidRDefault="00732C6E" w:rsidP="00EE1CAD">
      <w:pPr>
        <w:pStyle w:val="ListParagraph"/>
        <w:numPr>
          <w:ilvl w:val="0"/>
          <w:numId w:val="7"/>
        </w:numPr>
        <w:spacing w:after="0"/>
        <w:ind w:left="363" w:hanging="363"/>
        <w:jc w:val="both"/>
        <w:rPr>
          <w:sz w:val="22"/>
        </w:rPr>
      </w:pPr>
      <w:r w:rsidRPr="00CD2EE1">
        <w:rPr>
          <w:sz w:val="22"/>
        </w:rPr>
        <w:t xml:space="preserve">The condition of </w:t>
      </w:r>
      <w:r w:rsidR="00CD2EE1">
        <w:rPr>
          <w:sz w:val="22"/>
        </w:rPr>
        <w:t xml:space="preserve">this asset is </w:t>
      </w:r>
      <w:r w:rsidRPr="00CD2EE1">
        <w:rPr>
          <w:sz w:val="22"/>
        </w:rPr>
        <w:t>measured in terms of the age of installations</w:t>
      </w:r>
      <w:r w:rsidR="00EE1CAD" w:rsidRPr="00CD2EE1">
        <w:rPr>
          <w:sz w:val="22"/>
        </w:rPr>
        <w:t xml:space="preserve"> which </w:t>
      </w:r>
      <w:r w:rsidRPr="00CD2EE1">
        <w:rPr>
          <w:sz w:val="22"/>
        </w:rPr>
        <w:t>normally have a service life of 20 years</w:t>
      </w:r>
      <w:r w:rsidR="00CD2EE1">
        <w:rPr>
          <w:sz w:val="22"/>
        </w:rPr>
        <w:t xml:space="preserve">, after which </w:t>
      </w:r>
      <w:r w:rsidRPr="00CD2EE1">
        <w:rPr>
          <w:sz w:val="22"/>
        </w:rPr>
        <w:t xml:space="preserve">they </w:t>
      </w:r>
      <w:r w:rsidR="00113287" w:rsidRPr="00CD2EE1">
        <w:rPr>
          <w:sz w:val="22"/>
        </w:rPr>
        <w:t xml:space="preserve">are </w:t>
      </w:r>
      <w:r w:rsidR="002750FB" w:rsidRPr="00CD2EE1">
        <w:rPr>
          <w:sz w:val="22"/>
        </w:rPr>
        <w:t>no longer supported by the manufacturer.</w:t>
      </w:r>
    </w:p>
    <w:p w:rsidR="00732C6E" w:rsidRPr="00CC5128" w:rsidRDefault="00732C6E" w:rsidP="002750FB">
      <w:pPr>
        <w:pStyle w:val="ListParagraph"/>
        <w:numPr>
          <w:ilvl w:val="0"/>
          <w:numId w:val="7"/>
        </w:numPr>
        <w:spacing w:after="0"/>
        <w:ind w:left="363" w:hanging="363"/>
        <w:jc w:val="both"/>
        <w:rPr>
          <w:sz w:val="22"/>
        </w:rPr>
      </w:pPr>
      <w:r w:rsidRPr="00CD2EE1">
        <w:rPr>
          <w:sz w:val="22"/>
        </w:rPr>
        <w:t xml:space="preserve">We currently have a total of </w:t>
      </w:r>
      <w:r w:rsidR="00EE787A">
        <w:rPr>
          <w:sz w:val="22"/>
        </w:rPr>
        <w:t>95</w:t>
      </w:r>
      <w:r w:rsidRPr="00CD2EE1">
        <w:rPr>
          <w:sz w:val="22"/>
        </w:rPr>
        <w:t xml:space="preserve"> installations </w:t>
      </w:r>
      <w:r w:rsidR="002750FB" w:rsidRPr="00CD2EE1">
        <w:rPr>
          <w:sz w:val="22"/>
        </w:rPr>
        <w:t>(</w:t>
      </w:r>
      <w:r w:rsidR="00EE787A">
        <w:rPr>
          <w:sz w:val="22"/>
        </w:rPr>
        <w:t>13</w:t>
      </w:r>
      <w:r w:rsidRPr="00CD2EE1">
        <w:rPr>
          <w:sz w:val="22"/>
        </w:rPr>
        <w:t>% of the stock</w:t>
      </w:r>
      <w:r w:rsidR="002750FB" w:rsidRPr="00CD2EE1">
        <w:rPr>
          <w:sz w:val="22"/>
        </w:rPr>
        <w:t>)</w:t>
      </w:r>
      <w:r w:rsidRPr="00CD2EE1">
        <w:rPr>
          <w:sz w:val="22"/>
        </w:rPr>
        <w:t xml:space="preserve"> more </w:t>
      </w:r>
      <w:r w:rsidRPr="00CC5128">
        <w:rPr>
          <w:sz w:val="22"/>
        </w:rPr>
        <w:t>tha</w:t>
      </w:r>
      <w:r w:rsidR="00935EFB" w:rsidRPr="00CC5128">
        <w:rPr>
          <w:sz w:val="22"/>
        </w:rPr>
        <w:t>n</w:t>
      </w:r>
      <w:r w:rsidRPr="00CC5128">
        <w:rPr>
          <w:sz w:val="22"/>
        </w:rPr>
        <w:t xml:space="preserve"> 20 y</w:t>
      </w:r>
      <w:r w:rsidR="002750FB" w:rsidRPr="00CC5128">
        <w:rPr>
          <w:sz w:val="22"/>
        </w:rPr>
        <w:t>ea</w:t>
      </w:r>
      <w:r w:rsidRPr="00CC5128">
        <w:rPr>
          <w:sz w:val="22"/>
        </w:rPr>
        <w:t>rs old</w:t>
      </w:r>
      <w:r w:rsidR="00D737DD" w:rsidRPr="00CC5128">
        <w:rPr>
          <w:sz w:val="22"/>
        </w:rPr>
        <w:t xml:space="preserve"> – which is </w:t>
      </w:r>
      <w:r w:rsidR="00552530" w:rsidRPr="00CC5128">
        <w:rPr>
          <w:sz w:val="22"/>
        </w:rPr>
        <w:t>reduction of 1</w:t>
      </w:r>
      <w:r w:rsidR="00EE787A">
        <w:rPr>
          <w:sz w:val="22"/>
        </w:rPr>
        <w:t>09</w:t>
      </w:r>
      <w:r w:rsidR="00552530" w:rsidRPr="00CC5128">
        <w:rPr>
          <w:sz w:val="22"/>
        </w:rPr>
        <w:t xml:space="preserve"> installations (</w:t>
      </w:r>
      <w:r w:rsidR="00EE787A">
        <w:rPr>
          <w:sz w:val="22"/>
        </w:rPr>
        <w:t>15</w:t>
      </w:r>
      <w:r w:rsidR="00552530" w:rsidRPr="00CC5128">
        <w:rPr>
          <w:sz w:val="22"/>
        </w:rPr>
        <w:t xml:space="preserve">%) </w:t>
      </w:r>
      <w:r w:rsidR="00D737DD" w:rsidRPr="00CC5128">
        <w:rPr>
          <w:sz w:val="22"/>
        </w:rPr>
        <w:t>from 201</w:t>
      </w:r>
      <w:r w:rsidR="00EE787A">
        <w:rPr>
          <w:sz w:val="22"/>
        </w:rPr>
        <w:t>3</w:t>
      </w:r>
      <w:r w:rsidR="002750FB" w:rsidRPr="00CC5128">
        <w:rPr>
          <w:sz w:val="22"/>
        </w:rPr>
        <w:t>.</w:t>
      </w:r>
    </w:p>
    <w:p w:rsidR="00732C6E" w:rsidRPr="00CD2EE1" w:rsidRDefault="00732C6E" w:rsidP="002750FB">
      <w:pPr>
        <w:pStyle w:val="ListParagraph"/>
        <w:numPr>
          <w:ilvl w:val="0"/>
          <w:numId w:val="7"/>
        </w:numPr>
        <w:spacing w:after="0"/>
        <w:ind w:left="363" w:hanging="363"/>
        <w:jc w:val="both"/>
        <w:rPr>
          <w:sz w:val="22"/>
        </w:rPr>
      </w:pPr>
      <w:r w:rsidRPr="00CD2EE1">
        <w:rPr>
          <w:sz w:val="22"/>
        </w:rPr>
        <w:t xml:space="preserve">It is estimated that a replacement programme at a value of £0.5m per year would be required to replace the </w:t>
      </w:r>
      <w:r w:rsidR="00EB7990" w:rsidRPr="00CD2EE1">
        <w:rPr>
          <w:sz w:val="22"/>
        </w:rPr>
        <w:t>stock that is no longer supported by the manufacturer</w:t>
      </w:r>
      <w:r w:rsidR="002750FB" w:rsidRPr="00CD2EE1">
        <w:rPr>
          <w:sz w:val="22"/>
        </w:rPr>
        <w:t>.</w:t>
      </w:r>
    </w:p>
    <w:p w:rsidR="00D737DD" w:rsidRPr="00CD2EE1" w:rsidRDefault="002750FB" w:rsidP="002871EC">
      <w:pPr>
        <w:pStyle w:val="ListParagraph"/>
        <w:numPr>
          <w:ilvl w:val="0"/>
          <w:numId w:val="7"/>
        </w:numPr>
        <w:spacing w:after="0"/>
        <w:ind w:left="363" w:hanging="357"/>
        <w:jc w:val="both"/>
      </w:pPr>
      <w:r w:rsidRPr="00CD2EE1">
        <w:rPr>
          <w:sz w:val="22"/>
        </w:rPr>
        <w:t xml:space="preserve">A breakdown of </w:t>
      </w:r>
      <w:r w:rsidR="00732C6E" w:rsidRPr="00CD2EE1">
        <w:rPr>
          <w:sz w:val="22"/>
        </w:rPr>
        <w:t xml:space="preserve">traffic signal and pedestrian crossing </w:t>
      </w:r>
      <w:r w:rsidR="007264BD" w:rsidRPr="00CD2EE1">
        <w:rPr>
          <w:sz w:val="22"/>
        </w:rPr>
        <w:t xml:space="preserve">equipment </w:t>
      </w:r>
      <w:r w:rsidR="00803D11" w:rsidRPr="00CD2EE1">
        <w:rPr>
          <w:sz w:val="22"/>
        </w:rPr>
        <w:t xml:space="preserve">up to 20 years old (green) and </w:t>
      </w:r>
      <w:r w:rsidR="008F35D8" w:rsidRPr="00CD2EE1">
        <w:rPr>
          <w:sz w:val="22"/>
        </w:rPr>
        <w:t xml:space="preserve">age 21 years and </w:t>
      </w:r>
      <w:r w:rsidR="007264BD" w:rsidRPr="00CD2EE1">
        <w:rPr>
          <w:sz w:val="22"/>
        </w:rPr>
        <w:t>over</w:t>
      </w:r>
      <w:r w:rsidR="00732C6E" w:rsidRPr="00CD2EE1">
        <w:rPr>
          <w:sz w:val="22"/>
        </w:rPr>
        <w:t xml:space="preserve"> </w:t>
      </w:r>
      <w:r w:rsidR="007264BD" w:rsidRPr="00CD2EE1">
        <w:rPr>
          <w:sz w:val="22"/>
        </w:rPr>
        <w:t xml:space="preserve">(red) </w:t>
      </w:r>
      <w:r w:rsidR="00732C6E" w:rsidRPr="00CD2EE1">
        <w:rPr>
          <w:sz w:val="22"/>
        </w:rPr>
        <w:t xml:space="preserve">and no longer supported is shown </w:t>
      </w:r>
      <w:r w:rsidRPr="00CD2EE1">
        <w:rPr>
          <w:sz w:val="22"/>
        </w:rPr>
        <w:t xml:space="preserve">in </w:t>
      </w:r>
      <w:r w:rsidR="00803D11" w:rsidRPr="00CD2EE1">
        <w:rPr>
          <w:sz w:val="22"/>
        </w:rPr>
        <w:t xml:space="preserve">the </w:t>
      </w:r>
      <w:r w:rsidRPr="00CD2EE1">
        <w:rPr>
          <w:sz w:val="22"/>
        </w:rPr>
        <w:t xml:space="preserve">graph </w:t>
      </w:r>
      <w:r w:rsidR="00803D11" w:rsidRPr="00CD2EE1">
        <w:rPr>
          <w:sz w:val="22"/>
        </w:rPr>
        <w:t>above</w:t>
      </w:r>
      <w:r w:rsidR="00D00DA6" w:rsidRPr="00CD2EE1">
        <w:rPr>
          <w:sz w:val="22"/>
        </w:rPr>
        <w:t>.</w:t>
      </w:r>
    </w:p>
    <w:p w:rsidR="00031737" w:rsidRDefault="00031737" w:rsidP="00031737">
      <w:pPr>
        <w:pStyle w:val="ListParagraph"/>
        <w:numPr>
          <w:ilvl w:val="0"/>
          <w:numId w:val="7"/>
        </w:numPr>
        <w:spacing w:after="0"/>
        <w:ind w:left="363" w:hanging="363"/>
        <w:jc w:val="both"/>
        <w:rPr>
          <w:sz w:val="22"/>
        </w:rPr>
      </w:pPr>
      <w:r w:rsidRPr="00CD2EE1">
        <w:rPr>
          <w:sz w:val="22"/>
        </w:rPr>
        <w:t xml:space="preserve">The traffic signal asset group is considered to be in a </w:t>
      </w:r>
      <w:r w:rsidR="005C1347">
        <w:rPr>
          <w:sz w:val="22"/>
        </w:rPr>
        <w:t>GOOD</w:t>
      </w:r>
      <w:r w:rsidRPr="00CD2EE1">
        <w:rPr>
          <w:sz w:val="22"/>
        </w:rPr>
        <w:t xml:space="preserve"> condition.</w:t>
      </w:r>
    </w:p>
    <w:p w:rsidR="00EE787A" w:rsidRPr="00CD2EE1" w:rsidRDefault="00EE787A" w:rsidP="00EE787A">
      <w:pPr>
        <w:pStyle w:val="ListParagraph"/>
        <w:spacing w:after="0"/>
        <w:ind w:left="363"/>
        <w:jc w:val="both"/>
        <w:rPr>
          <w:sz w:val="22"/>
        </w:rPr>
      </w:pPr>
    </w:p>
    <w:p w:rsidR="00F11B39" w:rsidRDefault="00F11B39" w:rsidP="00732C6E">
      <w:pPr>
        <w:rPr>
          <w:b/>
        </w:rPr>
        <w:sectPr w:rsidR="00F11B39" w:rsidSect="00DE2E16">
          <w:type w:val="continuous"/>
          <w:pgSz w:w="16838" w:h="11906" w:orient="landscape"/>
          <w:pgMar w:top="1134" w:right="1134" w:bottom="1134" w:left="1134" w:header="709" w:footer="709" w:gutter="0"/>
          <w:cols w:num="2" w:space="708"/>
          <w:docGrid w:linePitch="360"/>
        </w:sectPr>
      </w:pPr>
    </w:p>
    <w:p w:rsidR="00692320" w:rsidRPr="000546CB" w:rsidRDefault="002B4581" w:rsidP="00692320">
      <w:pPr>
        <w:spacing w:after="0"/>
        <w:jc w:val="both"/>
        <w:rPr>
          <w:b/>
          <w:color w:val="000000" w:themeColor="text1"/>
        </w:rPr>
      </w:pPr>
      <w:r>
        <w:rPr>
          <w:b/>
          <w:color w:val="000000" w:themeColor="text1"/>
        </w:rPr>
        <w:t>6</w:t>
      </w:r>
      <w:r w:rsidR="00692320">
        <w:rPr>
          <w:b/>
          <w:color w:val="000000" w:themeColor="text1"/>
        </w:rPr>
        <w:t xml:space="preserve">) </w:t>
      </w:r>
      <w:r w:rsidR="00692320" w:rsidRPr="000546CB">
        <w:rPr>
          <w:b/>
          <w:color w:val="000000" w:themeColor="text1"/>
        </w:rPr>
        <w:t>Service Standards</w:t>
      </w:r>
    </w:p>
    <w:p w:rsidR="00692320" w:rsidRDefault="00692320" w:rsidP="00692320">
      <w:pPr>
        <w:spacing w:after="0"/>
        <w:jc w:val="both"/>
        <w:rPr>
          <w:color w:val="000000" w:themeColor="text1"/>
        </w:rPr>
      </w:pPr>
      <w:r>
        <w:rPr>
          <w:color w:val="000000" w:themeColor="text1"/>
        </w:rPr>
        <w:t xml:space="preserve">The Service Standards </w:t>
      </w:r>
      <w:r w:rsidR="00F22053">
        <w:rPr>
          <w:color w:val="000000" w:themeColor="text1"/>
        </w:rPr>
        <w:t xml:space="preserve">in the TAMP </w:t>
      </w:r>
      <w:r>
        <w:rPr>
          <w:color w:val="000000" w:themeColor="text1"/>
        </w:rPr>
        <w:t>were derived wherever possible from condition data collected by engineering analysis</w:t>
      </w:r>
      <w:r w:rsidR="007C1471">
        <w:rPr>
          <w:color w:val="000000" w:themeColor="text1"/>
        </w:rPr>
        <w:t xml:space="preserve"> </w:t>
      </w:r>
      <w:r w:rsidR="00EE1CAD">
        <w:rPr>
          <w:color w:val="000000" w:themeColor="text1"/>
        </w:rPr>
        <w:t>and</w:t>
      </w:r>
      <w:r w:rsidR="007C1471">
        <w:rPr>
          <w:color w:val="000000" w:themeColor="text1"/>
        </w:rPr>
        <w:t xml:space="preserve"> used </w:t>
      </w:r>
      <w:r w:rsidR="00EE1CAD">
        <w:rPr>
          <w:color w:val="000000" w:themeColor="text1"/>
        </w:rPr>
        <w:t>to:</w:t>
      </w:r>
      <w:r>
        <w:rPr>
          <w:color w:val="000000" w:themeColor="text1"/>
        </w:rPr>
        <w:t>-</w:t>
      </w:r>
    </w:p>
    <w:p w:rsidR="00692320" w:rsidRDefault="00692320" w:rsidP="00692320">
      <w:pPr>
        <w:spacing w:after="0"/>
        <w:jc w:val="both"/>
        <w:rPr>
          <w:color w:val="000000" w:themeColor="text1"/>
        </w:rPr>
      </w:pPr>
    </w:p>
    <w:p w:rsidR="00692320" w:rsidRPr="00701456" w:rsidRDefault="00692320" w:rsidP="00E72B3C">
      <w:pPr>
        <w:pStyle w:val="ListParagraph"/>
        <w:numPr>
          <w:ilvl w:val="0"/>
          <w:numId w:val="12"/>
        </w:numPr>
        <w:spacing w:after="0"/>
        <w:jc w:val="both"/>
        <w:rPr>
          <w:color w:val="000000" w:themeColor="text1"/>
        </w:rPr>
      </w:pPr>
      <w:r>
        <w:rPr>
          <w:color w:val="000000" w:themeColor="text1"/>
        </w:rPr>
        <w:t>M</w:t>
      </w:r>
      <w:r w:rsidRPr="00701456">
        <w:rPr>
          <w:color w:val="000000" w:themeColor="text1"/>
        </w:rPr>
        <w:t>onitor the overall condition of assets,</w:t>
      </w:r>
    </w:p>
    <w:p w:rsidR="00692320" w:rsidRPr="00701456" w:rsidRDefault="00692320" w:rsidP="00E72B3C">
      <w:pPr>
        <w:pStyle w:val="ListParagraph"/>
        <w:numPr>
          <w:ilvl w:val="0"/>
          <w:numId w:val="12"/>
        </w:numPr>
        <w:spacing w:after="0"/>
        <w:jc w:val="both"/>
        <w:rPr>
          <w:color w:val="000000" w:themeColor="text1"/>
        </w:rPr>
      </w:pPr>
      <w:r>
        <w:rPr>
          <w:color w:val="000000" w:themeColor="text1"/>
        </w:rPr>
        <w:t>M</w:t>
      </w:r>
      <w:r w:rsidRPr="00701456">
        <w:rPr>
          <w:color w:val="000000" w:themeColor="text1"/>
        </w:rPr>
        <w:t>onitor our year on year performance</w:t>
      </w:r>
      <w:r>
        <w:rPr>
          <w:color w:val="000000" w:themeColor="text1"/>
        </w:rPr>
        <w:t>, and</w:t>
      </w:r>
    </w:p>
    <w:p w:rsidR="00692320" w:rsidRPr="00701456" w:rsidRDefault="00692320" w:rsidP="00E72B3C">
      <w:pPr>
        <w:pStyle w:val="ListParagraph"/>
        <w:numPr>
          <w:ilvl w:val="0"/>
          <w:numId w:val="12"/>
        </w:numPr>
        <w:spacing w:after="0"/>
        <w:jc w:val="both"/>
        <w:rPr>
          <w:color w:val="000000" w:themeColor="text1"/>
        </w:rPr>
      </w:pPr>
      <w:r>
        <w:rPr>
          <w:color w:val="000000" w:themeColor="text1"/>
        </w:rPr>
        <w:t>C</w:t>
      </w:r>
      <w:r w:rsidRPr="00701456">
        <w:rPr>
          <w:color w:val="000000" w:themeColor="text1"/>
        </w:rPr>
        <w:t>ompare overall progress against the targets contained in the main TAMP document.</w:t>
      </w:r>
    </w:p>
    <w:p w:rsidR="00692320" w:rsidRDefault="00692320" w:rsidP="00692320">
      <w:pPr>
        <w:spacing w:after="0"/>
        <w:jc w:val="both"/>
        <w:rPr>
          <w:color w:val="000000" w:themeColor="text1"/>
        </w:rPr>
      </w:pPr>
    </w:p>
    <w:p w:rsidR="00692320" w:rsidRPr="007C256B" w:rsidRDefault="00692320" w:rsidP="00692320">
      <w:pPr>
        <w:spacing w:after="0"/>
        <w:jc w:val="both"/>
        <w:rPr>
          <w:color w:val="000000" w:themeColor="text1"/>
        </w:rPr>
      </w:pPr>
      <w:r>
        <w:rPr>
          <w:color w:val="000000" w:themeColor="text1"/>
        </w:rPr>
        <w:t>A</w:t>
      </w:r>
      <w:r w:rsidRPr="007C256B">
        <w:rPr>
          <w:color w:val="000000" w:themeColor="text1"/>
        </w:rPr>
        <w:t xml:space="preserve">s more </w:t>
      </w:r>
      <w:r>
        <w:rPr>
          <w:color w:val="000000" w:themeColor="text1"/>
        </w:rPr>
        <w:t xml:space="preserve">condition </w:t>
      </w:r>
      <w:r w:rsidRPr="007C256B">
        <w:rPr>
          <w:color w:val="000000" w:themeColor="text1"/>
        </w:rPr>
        <w:t xml:space="preserve">data becomes available for more asset groupings the performance targets </w:t>
      </w:r>
      <w:r>
        <w:rPr>
          <w:color w:val="000000" w:themeColor="text1"/>
        </w:rPr>
        <w:t xml:space="preserve">contained </w:t>
      </w:r>
      <w:r w:rsidRPr="007C256B">
        <w:rPr>
          <w:color w:val="000000" w:themeColor="text1"/>
        </w:rPr>
        <w:t>in th</w:t>
      </w:r>
      <w:r>
        <w:rPr>
          <w:color w:val="000000" w:themeColor="text1"/>
        </w:rPr>
        <w:t>e</w:t>
      </w:r>
      <w:r w:rsidRPr="007C256B">
        <w:rPr>
          <w:color w:val="000000" w:themeColor="text1"/>
        </w:rPr>
        <w:t xml:space="preserve"> </w:t>
      </w:r>
      <w:r w:rsidR="007C1471">
        <w:rPr>
          <w:color w:val="000000" w:themeColor="text1"/>
        </w:rPr>
        <w:t xml:space="preserve">main </w:t>
      </w:r>
      <w:r w:rsidRPr="007C256B">
        <w:rPr>
          <w:color w:val="000000" w:themeColor="text1"/>
        </w:rPr>
        <w:t xml:space="preserve">TAMP </w:t>
      </w:r>
      <w:r>
        <w:rPr>
          <w:color w:val="000000" w:themeColor="text1"/>
        </w:rPr>
        <w:t>w</w:t>
      </w:r>
      <w:r w:rsidRPr="007C256B">
        <w:rPr>
          <w:color w:val="000000" w:themeColor="text1"/>
        </w:rPr>
        <w:t xml:space="preserve">ill be </w:t>
      </w:r>
      <w:r w:rsidR="007C1471">
        <w:rPr>
          <w:color w:val="000000" w:themeColor="text1"/>
        </w:rPr>
        <w:t>updated</w:t>
      </w:r>
      <w:r w:rsidRPr="007C256B">
        <w:rPr>
          <w:color w:val="000000" w:themeColor="text1"/>
        </w:rPr>
        <w:t xml:space="preserve"> </w:t>
      </w:r>
      <w:r>
        <w:rPr>
          <w:color w:val="000000" w:themeColor="text1"/>
        </w:rPr>
        <w:t xml:space="preserve">as appropriate and included in a future data refresh document </w:t>
      </w:r>
      <w:r w:rsidRPr="007C256B">
        <w:rPr>
          <w:color w:val="000000" w:themeColor="text1"/>
        </w:rPr>
        <w:t xml:space="preserve">so that they offer a more refined </w:t>
      </w:r>
      <w:r w:rsidR="00F22053">
        <w:rPr>
          <w:color w:val="000000" w:themeColor="text1"/>
        </w:rPr>
        <w:t>and accurate way of assessing the condition of the asset.</w:t>
      </w:r>
      <w:r w:rsidRPr="007C256B">
        <w:rPr>
          <w:color w:val="000000" w:themeColor="text1"/>
        </w:rPr>
        <w:t xml:space="preserve">  Where </w:t>
      </w:r>
      <w:r>
        <w:rPr>
          <w:color w:val="000000" w:themeColor="text1"/>
        </w:rPr>
        <w:t xml:space="preserve">it is necessary to change the </w:t>
      </w:r>
      <w:r w:rsidRPr="007C256B">
        <w:rPr>
          <w:color w:val="000000" w:themeColor="text1"/>
        </w:rPr>
        <w:t>indicators we will clearly explain why such changes are necessary.</w:t>
      </w:r>
    </w:p>
    <w:p w:rsidR="00692320" w:rsidRPr="007C256B" w:rsidRDefault="00692320" w:rsidP="00692320">
      <w:pPr>
        <w:spacing w:after="0"/>
        <w:jc w:val="both"/>
        <w:rPr>
          <w:color w:val="000000" w:themeColor="text1"/>
        </w:rPr>
      </w:pPr>
    </w:p>
    <w:p w:rsidR="00692320" w:rsidRDefault="00692320" w:rsidP="00692320">
      <w:pPr>
        <w:autoSpaceDE w:val="0"/>
        <w:autoSpaceDN w:val="0"/>
        <w:adjustRightInd w:val="0"/>
        <w:spacing w:after="0"/>
        <w:jc w:val="both"/>
        <w:rPr>
          <w:rFonts w:cs="Arial"/>
          <w:color w:val="000000" w:themeColor="text1"/>
        </w:rPr>
      </w:pPr>
      <w:r>
        <w:rPr>
          <w:rFonts w:cs="Arial"/>
          <w:color w:val="000000" w:themeColor="text1"/>
        </w:rPr>
        <w:t xml:space="preserve">The </w:t>
      </w:r>
      <w:r w:rsidR="007C1471">
        <w:rPr>
          <w:rFonts w:cs="Arial"/>
          <w:color w:val="000000" w:themeColor="text1"/>
        </w:rPr>
        <w:t xml:space="preserve">main </w:t>
      </w:r>
      <w:r>
        <w:rPr>
          <w:rFonts w:cs="Arial"/>
          <w:color w:val="000000" w:themeColor="text1"/>
        </w:rPr>
        <w:t xml:space="preserve">TAMP document </w:t>
      </w:r>
      <w:r w:rsidRPr="007C256B">
        <w:rPr>
          <w:rFonts w:cs="Arial"/>
          <w:color w:val="000000" w:themeColor="text1"/>
        </w:rPr>
        <w:t>identifie</w:t>
      </w:r>
      <w:r>
        <w:rPr>
          <w:rFonts w:cs="Arial"/>
          <w:color w:val="000000" w:themeColor="text1"/>
        </w:rPr>
        <w:t>s</w:t>
      </w:r>
      <w:r w:rsidRPr="007C256B">
        <w:rPr>
          <w:rFonts w:cs="Arial"/>
          <w:color w:val="000000" w:themeColor="text1"/>
        </w:rPr>
        <w:t xml:space="preserve"> </w:t>
      </w:r>
      <w:r>
        <w:rPr>
          <w:rFonts w:cs="Arial"/>
          <w:color w:val="000000" w:themeColor="text1"/>
        </w:rPr>
        <w:t>5</w:t>
      </w:r>
      <w:r w:rsidRPr="007C256B">
        <w:rPr>
          <w:rFonts w:cs="Arial"/>
          <w:color w:val="000000" w:themeColor="text1"/>
        </w:rPr>
        <w:t xml:space="preserve"> service standards of POOR, ACCEPTABLE, FAIR, GOOD and EXCELLENT, against which the benefits to the users of the asset can be measured</w:t>
      </w:r>
      <w:r w:rsidR="001E466E">
        <w:rPr>
          <w:rFonts w:cs="Arial"/>
          <w:color w:val="000000" w:themeColor="text1"/>
        </w:rPr>
        <w:t>.  D</w:t>
      </w:r>
      <w:r>
        <w:rPr>
          <w:rFonts w:cs="Arial"/>
          <w:color w:val="000000" w:themeColor="text1"/>
        </w:rPr>
        <w:t xml:space="preserve">etails of the generic levels of service that </w:t>
      </w:r>
      <w:r w:rsidR="00F22053">
        <w:rPr>
          <w:rFonts w:cs="Arial"/>
          <w:color w:val="000000" w:themeColor="text1"/>
        </w:rPr>
        <w:t xml:space="preserve">each of the </w:t>
      </w:r>
      <w:r>
        <w:rPr>
          <w:rFonts w:cs="Arial"/>
          <w:color w:val="000000" w:themeColor="text1"/>
        </w:rPr>
        <w:t>transport asset groups are likely to provide to users at each service standard are shown in Appendix 1</w:t>
      </w:r>
      <w:r w:rsidR="00193356">
        <w:rPr>
          <w:rFonts w:cs="Arial"/>
          <w:color w:val="000000" w:themeColor="text1"/>
        </w:rPr>
        <w:t xml:space="preserve">. </w:t>
      </w:r>
    </w:p>
    <w:p w:rsidR="00692320" w:rsidRDefault="00692320" w:rsidP="00692320">
      <w:pPr>
        <w:autoSpaceDE w:val="0"/>
        <w:autoSpaceDN w:val="0"/>
        <w:adjustRightInd w:val="0"/>
        <w:spacing w:after="0"/>
        <w:jc w:val="both"/>
        <w:rPr>
          <w:rFonts w:cs="Arial"/>
          <w:color w:val="000000" w:themeColor="text1"/>
        </w:rPr>
      </w:pPr>
    </w:p>
    <w:p w:rsidR="00222E83" w:rsidRDefault="00692320" w:rsidP="00692320">
      <w:pPr>
        <w:spacing w:after="0"/>
        <w:jc w:val="both"/>
        <w:rPr>
          <w:color w:val="000000" w:themeColor="text1"/>
        </w:rPr>
      </w:pPr>
      <w:r>
        <w:rPr>
          <w:color w:val="000000" w:themeColor="text1"/>
        </w:rPr>
        <w:t>Th</w:t>
      </w:r>
      <w:r w:rsidR="00F22053">
        <w:rPr>
          <w:color w:val="000000" w:themeColor="text1"/>
        </w:rPr>
        <w:t>e condition data contained in thi</w:t>
      </w:r>
      <w:r>
        <w:rPr>
          <w:color w:val="000000" w:themeColor="text1"/>
        </w:rPr>
        <w:t>s data refresh document enable</w:t>
      </w:r>
      <w:r w:rsidR="00086444">
        <w:rPr>
          <w:color w:val="000000" w:themeColor="text1"/>
        </w:rPr>
        <w:t>s</w:t>
      </w:r>
      <w:r>
        <w:rPr>
          <w:color w:val="000000" w:themeColor="text1"/>
        </w:rPr>
        <w:t xml:space="preserve"> us to compare</w:t>
      </w:r>
      <w:r w:rsidR="001E466E">
        <w:rPr>
          <w:color w:val="000000" w:themeColor="text1"/>
        </w:rPr>
        <w:t xml:space="preserve"> our performance against the baseline figure</w:t>
      </w:r>
      <w:r w:rsidR="00222E83">
        <w:rPr>
          <w:color w:val="000000" w:themeColor="text1"/>
        </w:rPr>
        <w:t xml:space="preserve"> contained in the TAMP.</w:t>
      </w:r>
    </w:p>
    <w:p w:rsidR="001E466E" w:rsidRDefault="001E466E" w:rsidP="00692320">
      <w:pPr>
        <w:spacing w:after="0"/>
        <w:jc w:val="both"/>
        <w:rPr>
          <w:color w:val="000000" w:themeColor="text1"/>
        </w:rPr>
      </w:pPr>
    </w:p>
    <w:p w:rsidR="00692320" w:rsidRPr="0080204A" w:rsidRDefault="001E466E" w:rsidP="00692320">
      <w:pPr>
        <w:spacing w:after="0"/>
        <w:jc w:val="both"/>
        <w:rPr>
          <w:color w:val="000000" w:themeColor="text1"/>
        </w:rPr>
      </w:pPr>
      <w:r>
        <w:rPr>
          <w:color w:val="000000" w:themeColor="text1"/>
        </w:rPr>
        <w:t>The TAMP set</w:t>
      </w:r>
      <w:r w:rsidR="00222E83">
        <w:rPr>
          <w:color w:val="000000" w:themeColor="text1"/>
        </w:rPr>
        <w:t xml:space="preserve"> an</w:t>
      </w:r>
      <w:r>
        <w:rPr>
          <w:color w:val="000000" w:themeColor="text1"/>
        </w:rPr>
        <w:t xml:space="preserve"> </w:t>
      </w:r>
      <w:r w:rsidR="00692320">
        <w:rPr>
          <w:color w:val="000000" w:themeColor="text1"/>
        </w:rPr>
        <w:t xml:space="preserve">overall </w:t>
      </w:r>
      <w:r w:rsidR="00692320" w:rsidRPr="007C256B">
        <w:rPr>
          <w:color w:val="000000" w:themeColor="text1"/>
        </w:rPr>
        <w:t>indicative service standard target</w:t>
      </w:r>
      <w:r w:rsidR="00692320">
        <w:rPr>
          <w:color w:val="000000" w:themeColor="text1"/>
        </w:rPr>
        <w:t xml:space="preserve"> of GOOD to be achieved at the end of period 2020/21-2024/25</w:t>
      </w:r>
      <w:r>
        <w:rPr>
          <w:color w:val="000000" w:themeColor="text1"/>
        </w:rPr>
        <w:t>.</w:t>
      </w:r>
      <w:r w:rsidR="00222E83">
        <w:rPr>
          <w:color w:val="000000" w:themeColor="text1"/>
        </w:rPr>
        <w:t xml:space="preserve">  </w:t>
      </w:r>
      <w:r w:rsidR="00692320" w:rsidRPr="0080204A">
        <w:rPr>
          <w:color w:val="000000" w:themeColor="text1"/>
        </w:rPr>
        <w:t>In setting an overall indicative service standard target of GOOD it is recognised that it is not possible or affordable to maintain all asset groups to the same level.  The targets for individual asset groups have</w:t>
      </w:r>
      <w:r w:rsidR="00692320">
        <w:rPr>
          <w:color w:val="000000" w:themeColor="text1"/>
        </w:rPr>
        <w:t>,</w:t>
      </w:r>
      <w:r w:rsidR="00692320" w:rsidRPr="0080204A">
        <w:rPr>
          <w:color w:val="000000" w:themeColor="text1"/>
        </w:rPr>
        <w:t xml:space="preserve"> therefore</w:t>
      </w:r>
      <w:r w:rsidR="00692320">
        <w:rPr>
          <w:color w:val="000000" w:themeColor="text1"/>
        </w:rPr>
        <w:t>,</w:t>
      </w:r>
      <w:r w:rsidR="00692320" w:rsidRPr="0080204A">
        <w:rPr>
          <w:color w:val="000000" w:themeColor="text1"/>
        </w:rPr>
        <w:t xml:space="preserve"> been set according to county council priorities, risk and affordability.</w:t>
      </w:r>
    </w:p>
    <w:p w:rsidR="00692320" w:rsidRPr="0080204A" w:rsidRDefault="00692320" w:rsidP="00692320">
      <w:pPr>
        <w:spacing w:after="0"/>
        <w:jc w:val="both"/>
        <w:rPr>
          <w:color w:val="000000" w:themeColor="text1"/>
        </w:rPr>
      </w:pPr>
    </w:p>
    <w:p w:rsidR="00222E83" w:rsidRDefault="00692320" w:rsidP="00692320">
      <w:pPr>
        <w:spacing w:after="0"/>
        <w:jc w:val="both"/>
        <w:rPr>
          <w:color w:val="000000" w:themeColor="text1"/>
        </w:rPr>
      </w:pPr>
      <w:r w:rsidRPr="001530E2">
        <w:rPr>
          <w:color w:val="000000" w:themeColor="text1"/>
        </w:rPr>
        <w:t xml:space="preserve">The </w:t>
      </w:r>
      <w:r>
        <w:rPr>
          <w:color w:val="000000" w:themeColor="text1"/>
        </w:rPr>
        <w:t xml:space="preserve">following </w:t>
      </w:r>
      <w:r w:rsidRPr="001530E2">
        <w:rPr>
          <w:color w:val="000000" w:themeColor="text1"/>
        </w:rPr>
        <w:t>table details those assets covered in th</w:t>
      </w:r>
      <w:r w:rsidR="001E466E">
        <w:rPr>
          <w:color w:val="000000" w:themeColor="text1"/>
        </w:rPr>
        <w:t>e</w:t>
      </w:r>
      <w:r w:rsidRPr="001530E2">
        <w:rPr>
          <w:color w:val="000000" w:themeColor="text1"/>
        </w:rPr>
        <w:t xml:space="preserve"> TAMP and shows the service standard</w:t>
      </w:r>
      <w:r w:rsidR="00222E83">
        <w:rPr>
          <w:color w:val="000000" w:themeColor="text1"/>
        </w:rPr>
        <w:t xml:space="preserve">s currently </w:t>
      </w:r>
      <w:r w:rsidR="001E466E">
        <w:rPr>
          <w:color w:val="000000" w:themeColor="text1"/>
        </w:rPr>
        <w:t xml:space="preserve">being provided by the </w:t>
      </w:r>
      <w:r w:rsidR="00222E83">
        <w:rPr>
          <w:color w:val="000000" w:themeColor="text1"/>
        </w:rPr>
        <w:t xml:space="preserve">transport </w:t>
      </w:r>
      <w:r w:rsidR="001E466E">
        <w:rPr>
          <w:color w:val="000000" w:themeColor="text1"/>
        </w:rPr>
        <w:t>assets</w:t>
      </w:r>
      <w:r w:rsidR="00222E83">
        <w:rPr>
          <w:color w:val="000000" w:themeColor="text1"/>
        </w:rPr>
        <w:t>.</w:t>
      </w:r>
    </w:p>
    <w:p w:rsidR="00222E83" w:rsidRDefault="00222E83" w:rsidP="00692320">
      <w:pPr>
        <w:spacing w:after="0"/>
        <w:jc w:val="both"/>
        <w:rPr>
          <w:color w:val="000000" w:themeColor="text1"/>
        </w:rPr>
      </w:pPr>
    </w:p>
    <w:p w:rsidR="00222E83" w:rsidRPr="00847B19" w:rsidRDefault="00222E83" w:rsidP="00222E83">
      <w:pPr>
        <w:spacing w:after="0"/>
        <w:jc w:val="both"/>
        <w:rPr>
          <w:color w:val="000000" w:themeColor="text1"/>
        </w:rPr>
      </w:pPr>
      <w:r w:rsidRPr="00847B19">
        <w:rPr>
          <w:color w:val="000000" w:themeColor="text1"/>
        </w:rPr>
        <w:t>Given the range of assets covered by th</w:t>
      </w:r>
      <w:r>
        <w:rPr>
          <w:color w:val="000000" w:themeColor="text1"/>
        </w:rPr>
        <w:t>is</w:t>
      </w:r>
      <w:r w:rsidRPr="00847B19">
        <w:rPr>
          <w:color w:val="000000" w:themeColor="text1"/>
        </w:rPr>
        <w:t xml:space="preserve"> TAMP, there will inevitably be differences in the condition of each asset grouping</w:t>
      </w:r>
      <w:r>
        <w:rPr>
          <w:color w:val="000000" w:themeColor="text1"/>
        </w:rPr>
        <w:t>.</w:t>
      </w:r>
      <w:r w:rsidRPr="00847B19">
        <w:rPr>
          <w:color w:val="000000" w:themeColor="text1"/>
        </w:rPr>
        <w:t xml:space="preserve"> </w:t>
      </w:r>
      <w:r>
        <w:rPr>
          <w:color w:val="000000" w:themeColor="text1"/>
        </w:rPr>
        <w:t>T</w:t>
      </w:r>
      <w:r w:rsidRPr="00847B19">
        <w:rPr>
          <w:color w:val="000000" w:themeColor="text1"/>
        </w:rPr>
        <w:t xml:space="preserve">o some extent </w:t>
      </w:r>
      <w:r>
        <w:rPr>
          <w:color w:val="000000" w:themeColor="text1"/>
        </w:rPr>
        <w:t>th</w:t>
      </w:r>
      <w:r w:rsidRPr="00847B19">
        <w:rPr>
          <w:color w:val="000000" w:themeColor="text1"/>
        </w:rPr>
        <w:t xml:space="preserve">is </w:t>
      </w:r>
      <w:r>
        <w:rPr>
          <w:color w:val="000000" w:themeColor="text1"/>
        </w:rPr>
        <w:t xml:space="preserve">is </w:t>
      </w:r>
      <w:r w:rsidRPr="00847B19">
        <w:rPr>
          <w:color w:val="000000" w:themeColor="text1"/>
        </w:rPr>
        <w:t>determined not only by the intervention intervals but also treatment and remediation options.</w:t>
      </w:r>
    </w:p>
    <w:p w:rsidR="00222E83" w:rsidRDefault="00222E83" w:rsidP="00222E83">
      <w:pPr>
        <w:spacing w:after="0"/>
        <w:jc w:val="both"/>
        <w:rPr>
          <w:color w:val="000000" w:themeColor="text1"/>
        </w:rPr>
      </w:pPr>
    </w:p>
    <w:p w:rsidR="00222E83" w:rsidRDefault="00222E83" w:rsidP="00222E83">
      <w:pPr>
        <w:spacing w:after="0"/>
        <w:jc w:val="both"/>
        <w:rPr>
          <w:color w:val="000000" w:themeColor="text1"/>
        </w:rPr>
      </w:pPr>
      <w:r>
        <w:rPr>
          <w:color w:val="000000" w:themeColor="text1"/>
        </w:rPr>
        <w:t>The 5 year, 10 year and 15 year target for each asset type is shown in the table below:-</w:t>
      </w:r>
    </w:p>
    <w:p w:rsidR="00222E83" w:rsidRDefault="00222E83" w:rsidP="00222E83">
      <w:pPr>
        <w:spacing w:after="0"/>
        <w:jc w:val="both"/>
        <w:rPr>
          <w:color w:val="000000" w:themeColor="text1"/>
        </w:rPr>
      </w:pPr>
    </w:p>
    <w:p w:rsidR="00222E83" w:rsidRDefault="00222E83" w:rsidP="00222E83">
      <w:pPr>
        <w:spacing w:after="0"/>
        <w:jc w:val="both"/>
        <w:rPr>
          <w:color w:val="000000" w:themeColor="text1"/>
        </w:rPr>
      </w:pPr>
    </w:p>
    <w:p w:rsidR="00222E83" w:rsidRDefault="00222E83" w:rsidP="00222E83">
      <w:pPr>
        <w:spacing w:after="0"/>
        <w:jc w:val="both"/>
        <w:rPr>
          <w:color w:val="000000" w:themeColor="text1"/>
        </w:rPr>
      </w:pPr>
    </w:p>
    <w:p w:rsidR="00BE3E2D" w:rsidRDefault="00BE3E2D" w:rsidP="00222E83">
      <w:pPr>
        <w:spacing w:after="0"/>
        <w:jc w:val="both"/>
        <w:rPr>
          <w:color w:val="000000" w:themeColor="text1"/>
        </w:rPr>
      </w:pPr>
    </w:p>
    <w:p w:rsidR="00BE3E2D" w:rsidRDefault="00BE3E2D" w:rsidP="00222E83">
      <w:pPr>
        <w:spacing w:after="0"/>
        <w:jc w:val="both"/>
        <w:rPr>
          <w:color w:val="000000" w:themeColor="text1"/>
        </w:rPr>
      </w:pPr>
    </w:p>
    <w:p w:rsidR="00BE3E2D" w:rsidRDefault="00BE3E2D" w:rsidP="00222E83">
      <w:pPr>
        <w:spacing w:after="0"/>
        <w:jc w:val="both"/>
        <w:rPr>
          <w:color w:val="000000" w:themeColor="text1"/>
        </w:rPr>
      </w:pPr>
    </w:p>
    <w:p w:rsidR="00222E83" w:rsidRDefault="00222E83" w:rsidP="00222E83">
      <w:pPr>
        <w:spacing w:after="0"/>
        <w:jc w:val="both"/>
        <w:rPr>
          <w:color w:val="000000" w:themeColor="text1"/>
        </w:rPr>
      </w:pPr>
    </w:p>
    <w:p w:rsidR="00222E83" w:rsidRDefault="00222E83" w:rsidP="00222E83">
      <w:pPr>
        <w:spacing w:after="0"/>
        <w:jc w:val="both"/>
        <w:rPr>
          <w:color w:val="000000" w:themeColor="text1"/>
        </w:rPr>
      </w:pPr>
    </w:p>
    <w:tbl>
      <w:tblPr>
        <w:tblStyle w:val="TableGrid"/>
        <w:tblW w:w="6577" w:type="dxa"/>
        <w:tblInd w:w="108" w:type="dxa"/>
        <w:tblLayout w:type="fixed"/>
        <w:tblLook w:val="04A0" w:firstRow="1" w:lastRow="0" w:firstColumn="1" w:lastColumn="0" w:noHBand="0" w:noVBand="1"/>
      </w:tblPr>
      <w:tblGrid>
        <w:gridCol w:w="1813"/>
        <w:gridCol w:w="284"/>
        <w:gridCol w:w="1247"/>
        <w:gridCol w:w="1077"/>
        <w:gridCol w:w="1077"/>
        <w:gridCol w:w="1079"/>
      </w:tblGrid>
      <w:tr w:rsidR="00222E83" w:rsidTr="00EC075A">
        <w:tc>
          <w:tcPr>
            <w:tcW w:w="2097" w:type="dxa"/>
            <w:gridSpan w:val="2"/>
            <w:tcBorders>
              <w:right w:val="single" w:sz="4" w:space="0" w:color="auto"/>
            </w:tcBorders>
            <w:shd w:val="clear" w:color="auto" w:fill="FBD4B4" w:themeFill="accent6" w:themeFillTint="66"/>
            <w:vAlign w:val="center"/>
          </w:tcPr>
          <w:p w:rsidR="00222E83" w:rsidRPr="007D13FB" w:rsidRDefault="00222E83" w:rsidP="00D36AA2">
            <w:pPr>
              <w:jc w:val="center"/>
              <w:rPr>
                <w:b/>
                <w:color w:val="000000" w:themeColor="text1"/>
                <w:sz w:val="21"/>
                <w:szCs w:val="21"/>
              </w:rPr>
            </w:pPr>
            <w:r w:rsidRPr="007D13FB">
              <w:rPr>
                <w:b/>
                <w:color w:val="000000" w:themeColor="text1"/>
                <w:sz w:val="21"/>
                <w:szCs w:val="21"/>
              </w:rPr>
              <w:t>Asset Category</w:t>
            </w:r>
          </w:p>
        </w:tc>
        <w:tc>
          <w:tcPr>
            <w:tcW w:w="1247" w:type="dxa"/>
            <w:tcBorders>
              <w:left w:val="single" w:sz="4" w:space="0" w:color="auto"/>
              <w:right w:val="single" w:sz="4" w:space="0" w:color="auto"/>
            </w:tcBorders>
            <w:shd w:val="clear" w:color="auto" w:fill="FBD4B4" w:themeFill="accent6" w:themeFillTint="66"/>
            <w:vAlign w:val="center"/>
          </w:tcPr>
          <w:p w:rsidR="00222E83" w:rsidRPr="008B238B" w:rsidRDefault="00222E83" w:rsidP="007474BF">
            <w:pPr>
              <w:jc w:val="center"/>
              <w:rPr>
                <w:b/>
                <w:color w:val="2C36FC"/>
                <w:sz w:val="21"/>
                <w:szCs w:val="21"/>
              </w:rPr>
            </w:pPr>
            <w:r w:rsidRPr="008B238B">
              <w:rPr>
                <w:b/>
                <w:color w:val="2C36FC"/>
                <w:sz w:val="21"/>
                <w:szCs w:val="21"/>
              </w:rPr>
              <w:t xml:space="preserve">Condition </w:t>
            </w:r>
            <w:r w:rsidR="007474BF">
              <w:rPr>
                <w:b/>
                <w:color w:val="2C36FC"/>
                <w:sz w:val="21"/>
                <w:szCs w:val="21"/>
              </w:rPr>
              <w:t>2013</w:t>
            </w:r>
          </w:p>
        </w:tc>
        <w:tc>
          <w:tcPr>
            <w:tcW w:w="1077" w:type="dxa"/>
            <w:tcBorders>
              <w:left w:val="single" w:sz="4" w:space="0" w:color="auto"/>
              <w:right w:val="single" w:sz="4" w:space="0" w:color="auto"/>
            </w:tcBorders>
            <w:shd w:val="clear" w:color="auto" w:fill="FBD4B4" w:themeFill="accent6" w:themeFillTint="66"/>
          </w:tcPr>
          <w:p w:rsidR="00222E83" w:rsidRPr="007D13FB" w:rsidRDefault="00222E83" w:rsidP="00D36AA2">
            <w:pPr>
              <w:jc w:val="center"/>
              <w:rPr>
                <w:b/>
                <w:color w:val="000000" w:themeColor="text1"/>
                <w:sz w:val="21"/>
                <w:szCs w:val="21"/>
              </w:rPr>
            </w:pPr>
            <w:r w:rsidRPr="007D13FB">
              <w:rPr>
                <w:b/>
                <w:color w:val="000000" w:themeColor="text1"/>
                <w:sz w:val="21"/>
                <w:szCs w:val="21"/>
              </w:rPr>
              <w:t>5 Year Target</w:t>
            </w:r>
          </w:p>
        </w:tc>
        <w:tc>
          <w:tcPr>
            <w:tcW w:w="1077" w:type="dxa"/>
            <w:tcBorders>
              <w:left w:val="single" w:sz="4" w:space="0" w:color="auto"/>
              <w:right w:val="single" w:sz="4" w:space="0" w:color="auto"/>
            </w:tcBorders>
            <w:shd w:val="clear" w:color="auto" w:fill="FBD4B4" w:themeFill="accent6" w:themeFillTint="66"/>
            <w:vAlign w:val="center"/>
          </w:tcPr>
          <w:p w:rsidR="00222E83" w:rsidRPr="007D13FB" w:rsidRDefault="00222E83" w:rsidP="00D36AA2">
            <w:pPr>
              <w:jc w:val="center"/>
              <w:rPr>
                <w:b/>
                <w:color w:val="000000" w:themeColor="text1"/>
                <w:sz w:val="21"/>
                <w:szCs w:val="21"/>
              </w:rPr>
            </w:pPr>
            <w:r w:rsidRPr="007D13FB">
              <w:rPr>
                <w:b/>
                <w:color w:val="000000" w:themeColor="text1"/>
                <w:sz w:val="21"/>
                <w:szCs w:val="21"/>
              </w:rPr>
              <w:t>10 Year Target</w:t>
            </w:r>
          </w:p>
        </w:tc>
        <w:tc>
          <w:tcPr>
            <w:tcW w:w="1079" w:type="dxa"/>
            <w:tcBorders>
              <w:left w:val="single" w:sz="4" w:space="0" w:color="auto"/>
            </w:tcBorders>
            <w:shd w:val="clear" w:color="auto" w:fill="FBD4B4" w:themeFill="accent6" w:themeFillTint="66"/>
            <w:vAlign w:val="center"/>
          </w:tcPr>
          <w:p w:rsidR="00222E83" w:rsidRPr="007D13FB" w:rsidRDefault="00222E83" w:rsidP="00D36AA2">
            <w:pPr>
              <w:jc w:val="center"/>
              <w:rPr>
                <w:b/>
                <w:color w:val="000000" w:themeColor="text1"/>
                <w:sz w:val="21"/>
                <w:szCs w:val="21"/>
              </w:rPr>
            </w:pPr>
            <w:r w:rsidRPr="007D13FB">
              <w:rPr>
                <w:b/>
                <w:color w:val="000000" w:themeColor="text1"/>
                <w:sz w:val="21"/>
                <w:szCs w:val="21"/>
              </w:rPr>
              <w:t>1</w:t>
            </w:r>
            <w:r>
              <w:rPr>
                <w:b/>
                <w:color w:val="000000" w:themeColor="text1"/>
                <w:sz w:val="21"/>
                <w:szCs w:val="21"/>
              </w:rPr>
              <w:t>5</w:t>
            </w:r>
            <w:r w:rsidRPr="007D13FB">
              <w:rPr>
                <w:b/>
                <w:color w:val="000000" w:themeColor="text1"/>
                <w:sz w:val="21"/>
                <w:szCs w:val="21"/>
              </w:rPr>
              <w:t xml:space="preserve"> Year Target</w:t>
            </w:r>
          </w:p>
        </w:tc>
      </w:tr>
      <w:tr w:rsidR="009F1D00" w:rsidTr="00CD2EE1">
        <w:tc>
          <w:tcPr>
            <w:tcW w:w="1813" w:type="dxa"/>
            <w:vMerge w:val="restart"/>
            <w:tcBorders>
              <w:right w:val="single" w:sz="4" w:space="0" w:color="auto"/>
            </w:tcBorders>
            <w:vAlign w:val="center"/>
          </w:tcPr>
          <w:p w:rsidR="009F1D00" w:rsidRPr="009F1D00" w:rsidRDefault="009F1D00" w:rsidP="00EC075A">
            <w:pPr>
              <w:jc w:val="center"/>
              <w:rPr>
                <w:color w:val="000000" w:themeColor="text1"/>
                <w:sz w:val="21"/>
                <w:szCs w:val="21"/>
              </w:rPr>
            </w:pPr>
            <w:r w:rsidRPr="00D362BA">
              <w:rPr>
                <w:b/>
                <w:color w:val="000000" w:themeColor="text1"/>
                <w:sz w:val="21"/>
                <w:szCs w:val="21"/>
              </w:rPr>
              <w:t xml:space="preserve">A, B </w:t>
            </w:r>
            <w:r w:rsidR="00EC075A">
              <w:rPr>
                <w:b/>
                <w:color w:val="000000" w:themeColor="text1"/>
                <w:sz w:val="21"/>
                <w:szCs w:val="21"/>
              </w:rPr>
              <w:t>&amp;</w:t>
            </w:r>
            <w:r w:rsidRPr="00D362BA">
              <w:rPr>
                <w:b/>
                <w:color w:val="000000" w:themeColor="text1"/>
                <w:sz w:val="21"/>
                <w:szCs w:val="21"/>
              </w:rPr>
              <w:t xml:space="preserve"> C Roads</w:t>
            </w:r>
            <w:r>
              <w:rPr>
                <w:b/>
                <w:color w:val="000000" w:themeColor="text1"/>
                <w:sz w:val="21"/>
                <w:szCs w:val="21"/>
              </w:rPr>
              <w:t xml:space="preserve"> </w:t>
            </w:r>
            <w:r w:rsidRPr="00D362BA">
              <w:rPr>
                <w:color w:val="000000" w:themeColor="text1"/>
                <w:sz w:val="21"/>
                <w:szCs w:val="21"/>
              </w:rPr>
              <w:t>(% RED &amp; AMBER</w:t>
            </w:r>
            <w:r>
              <w:rPr>
                <w:color w:val="000000" w:themeColor="text1"/>
                <w:sz w:val="21"/>
                <w:szCs w:val="21"/>
              </w:rPr>
              <w:t>)</w:t>
            </w:r>
          </w:p>
        </w:tc>
        <w:tc>
          <w:tcPr>
            <w:tcW w:w="284" w:type="dxa"/>
            <w:tcBorders>
              <w:left w:val="single" w:sz="4" w:space="0" w:color="auto"/>
              <w:right w:val="single" w:sz="4" w:space="0" w:color="auto"/>
            </w:tcBorders>
            <w:vAlign w:val="center"/>
          </w:tcPr>
          <w:p w:rsidR="009F1D00" w:rsidRPr="009F1D00" w:rsidRDefault="009F1D00" w:rsidP="00EC075A">
            <w:pPr>
              <w:rPr>
                <w:color w:val="000000" w:themeColor="text1"/>
                <w:sz w:val="21"/>
                <w:szCs w:val="21"/>
              </w:rPr>
            </w:pPr>
            <w:r w:rsidRPr="009F1D00">
              <w:rPr>
                <w:color w:val="000000" w:themeColor="text1"/>
                <w:sz w:val="21"/>
                <w:szCs w:val="21"/>
              </w:rPr>
              <w:t>A</w:t>
            </w:r>
          </w:p>
        </w:tc>
        <w:tc>
          <w:tcPr>
            <w:tcW w:w="1247" w:type="dxa"/>
            <w:tcBorders>
              <w:left w:val="single" w:sz="4" w:space="0" w:color="auto"/>
              <w:right w:val="single" w:sz="4" w:space="0" w:color="auto"/>
            </w:tcBorders>
            <w:shd w:val="clear" w:color="auto" w:fill="FFFF00"/>
          </w:tcPr>
          <w:p w:rsidR="009F1D00" w:rsidRPr="00464204" w:rsidRDefault="009F1D00" w:rsidP="009F1D00">
            <w:pPr>
              <w:jc w:val="center"/>
              <w:rPr>
                <w:b/>
                <w:color w:val="2C36FC"/>
                <w:sz w:val="21"/>
                <w:szCs w:val="21"/>
              </w:rPr>
            </w:pPr>
            <w:r w:rsidRPr="00464204">
              <w:rPr>
                <w:b/>
                <w:color w:val="2C36FC"/>
                <w:sz w:val="21"/>
                <w:szCs w:val="21"/>
              </w:rPr>
              <w:t>25%</w:t>
            </w:r>
          </w:p>
        </w:tc>
        <w:tc>
          <w:tcPr>
            <w:tcW w:w="1077" w:type="dxa"/>
            <w:tcBorders>
              <w:left w:val="single" w:sz="4" w:space="0" w:color="auto"/>
              <w:right w:val="single" w:sz="4" w:space="0" w:color="auto"/>
            </w:tcBorders>
            <w:shd w:val="clear" w:color="auto" w:fill="D6E3BC" w:themeFill="accent3" w:themeFillTint="66"/>
          </w:tcPr>
          <w:p w:rsidR="009F1D00" w:rsidRPr="00D362BA" w:rsidRDefault="009F1D00" w:rsidP="009F1D00">
            <w:pPr>
              <w:jc w:val="center"/>
              <w:rPr>
                <w:color w:val="000000" w:themeColor="text1"/>
                <w:sz w:val="21"/>
                <w:szCs w:val="21"/>
              </w:rPr>
            </w:pPr>
            <w:r w:rsidRPr="00D362BA">
              <w:rPr>
                <w:color w:val="000000" w:themeColor="text1"/>
                <w:sz w:val="21"/>
                <w:szCs w:val="21"/>
              </w:rPr>
              <w:t>10</w:t>
            </w:r>
            <w:r>
              <w:rPr>
                <w:color w:val="000000" w:themeColor="text1"/>
                <w:sz w:val="21"/>
                <w:szCs w:val="21"/>
              </w:rPr>
              <w:t xml:space="preserve"> - 6</w:t>
            </w:r>
            <w:r w:rsidRPr="00D362BA">
              <w:rPr>
                <w:color w:val="000000" w:themeColor="text1"/>
                <w:sz w:val="21"/>
                <w:szCs w:val="21"/>
              </w:rPr>
              <w:t>%</w:t>
            </w:r>
          </w:p>
        </w:tc>
        <w:tc>
          <w:tcPr>
            <w:tcW w:w="1077" w:type="dxa"/>
            <w:tcBorders>
              <w:left w:val="single" w:sz="4" w:space="0" w:color="auto"/>
              <w:right w:val="single" w:sz="4" w:space="0" w:color="auto"/>
            </w:tcBorders>
            <w:shd w:val="clear" w:color="auto" w:fill="D6E3BC" w:themeFill="accent3" w:themeFillTint="66"/>
          </w:tcPr>
          <w:p w:rsidR="009F1D00" w:rsidRPr="00D362BA" w:rsidRDefault="009F1D00" w:rsidP="009F1D00">
            <w:pPr>
              <w:rPr>
                <w:color w:val="000000" w:themeColor="text1"/>
                <w:sz w:val="21"/>
                <w:szCs w:val="21"/>
              </w:rPr>
            </w:pPr>
            <w:r>
              <w:rPr>
                <w:color w:val="000000" w:themeColor="text1"/>
                <w:sz w:val="21"/>
                <w:szCs w:val="21"/>
              </w:rPr>
              <w:t>1</w:t>
            </w:r>
            <w:r w:rsidRPr="00D362BA">
              <w:rPr>
                <w:color w:val="000000" w:themeColor="text1"/>
                <w:sz w:val="21"/>
                <w:szCs w:val="21"/>
              </w:rPr>
              <w:t>0</w:t>
            </w:r>
            <w:r>
              <w:rPr>
                <w:color w:val="000000" w:themeColor="text1"/>
                <w:sz w:val="21"/>
                <w:szCs w:val="21"/>
              </w:rPr>
              <w:t xml:space="preserve"> - 6</w:t>
            </w:r>
            <w:r w:rsidRPr="00D362BA">
              <w:rPr>
                <w:color w:val="000000" w:themeColor="text1"/>
                <w:sz w:val="21"/>
                <w:szCs w:val="21"/>
              </w:rPr>
              <w:t>%</w:t>
            </w:r>
          </w:p>
        </w:tc>
        <w:tc>
          <w:tcPr>
            <w:tcW w:w="1079" w:type="dxa"/>
            <w:tcBorders>
              <w:left w:val="single" w:sz="4" w:space="0" w:color="auto"/>
            </w:tcBorders>
            <w:shd w:val="clear" w:color="auto" w:fill="D6E3BC" w:themeFill="accent3" w:themeFillTint="66"/>
          </w:tcPr>
          <w:p w:rsidR="009F1D00" w:rsidRPr="00D362BA" w:rsidRDefault="009F1D00" w:rsidP="009F1D00">
            <w:pPr>
              <w:rPr>
                <w:color w:val="000000" w:themeColor="text1"/>
                <w:sz w:val="21"/>
                <w:szCs w:val="21"/>
              </w:rPr>
            </w:pPr>
            <w:r>
              <w:rPr>
                <w:color w:val="000000" w:themeColor="text1"/>
                <w:sz w:val="21"/>
                <w:szCs w:val="21"/>
              </w:rPr>
              <w:t>1</w:t>
            </w:r>
            <w:r w:rsidRPr="00D362BA">
              <w:rPr>
                <w:color w:val="000000" w:themeColor="text1"/>
                <w:sz w:val="21"/>
                <w:szCs w:val="21"/>
              </w:rPr>
              <w:t>0</w:t>
            </w:r>
            <w:r>
              <w:rPr>
                <w:color w:val="000000" w:themeColor="text1"/>
                <w:sz w:val="21"/>
                <w:szCs w:val="21"/>
              </w:rPr>
              <w:t xml:space="preserve"> - 6</w:t>
            </w:r>
            <w:r w:rsidRPr="00D362BA">
              <w:rPr>
                <w:color w:val="000000" w:themeColor="text1"/>
                <w:sz w:val="21"/>
                <w:szCs w:val="21"/>
              </w:rPr>
              <w:t>%</w:t>
            </w:r>
          </w:p>
        </w:tc>
      </w:tr>
      <w:tr w:rsidR="009F1D00" w:rsidTr="00CD2EE1">
        <w:tc>
          <w:tcPr>
            <w:tcW w:w="1813" w:type="dxa"/>
            <w:vMerge/>
            <w:tcBorders>
              <w:right w:val="single" w:sz="4" w:space="0" w:color="auto"/>
            </w:tcBorders>
            <w:vAlign w:val="center"/>
          </w:tcPr>
          <w:p w:rsidR="009F1D00" w:rsidRPr="00D362BA" w:rsidRDefault="009F1D00" w:rsidP="009F1D00">
            <w:pPr>
              <w:jc w:val="center"/>
              <w:rPr>
                <w:b/>
                <w:color w:val="000000" w:themeColor="text1"/>
                <w:sz w:val="21"/>
                <w:szCs w:val="21"/>
              </w:rPr>
            </w:pPr>
          </w:p>
        </w:tc>
        <w:tc>
          <w:tcPr>
            <w:tcW w:w="284" w:type="dxa"/>
            <w:tcBorders>
              <w:left w:val="single" w:sz="4" w:space="0" w:color="auto"/>
              <w:right w:val="single" w:sz="4" w:space="0" w:color="auto"/>
            </w:tcBorders>
            <w:vAlign w:val="center"/>
          </w:tcPr>
          <w:p w:rsidR="009F1D00" w:rsidRPr="009F1D00" w:rsidRDefault="009F1D00" w:rsidP="00EC075A">
            <w:pPr>
              <w:rPr>
                <w:color w:val="000000" w:themeColor="text1"/>
                <w:sz w:val="21"/>
                <w:szCs w:val="21"/>
              </w:rPr>
            </w:pPr>
            <w:r w:rsidRPr="009F1D00">
              <w:rPr>
                <w:color w:val="000000" w:themeColor="text1"/>
                <w:sz w:val="21"/>
                <w:szCs w:val="21"/>
              </w:rPr>
              <w:t>B</w:t>
            </w:r>
          </w:p>
        </w:tc>
        <w:tc>
          <w:tcPr>
            <w:tcW w:w="1247" w:type="dxa"/>
            <w:tcBorders>
              <w:left w:val="single" w:sz="4" w:space="0" w:color="auto"/>
              <w:right w:val="single" w:sz="4" w:space="0" w:color="auto"/>
            </w:tcBorders>
            <w:shd w:val="clear" w:color="auto" w:fill="FFC000"/>
          </w:tcPr>
          <w:p w:rsidR="009F1D00" w:rsidRPr="00477EB2" w:rsidRDefault="009F1D00" w:rsidP="009F1D00">
            <w:pPr>
              <w:jc w:val="center"/>
              <w:rPr>
                <w:color w:val="000000" w:themeColor="text1"/>
                <w:sz w:val="21"/>
                <w:szCs w:val="21"/>
              </w:rPr>
            </w:pPr>
            <w:r w:rsidRPr="00477EB2">
              <w:rPr>
                <w:color w:val="000000" w:themeColor="text1"/>
                <w:sz w:val="21"/>
                <w:szCs w:val="21"/>
              </w:rPr>
              <w:t>40%</w:t>
            </w:r>
          </w:p>
        </w:tc>
        <w:tc>
          <w:tcPr>
            <w:tcW w:w="1077" w:type="dxa"/>
            <w:tcBorders>
              <w:left w:val="single" w:sz="4" w:space="0" w:color="auto"/>
              <w:right w:val="single" w:sz="4" w:space="0" w:color="auto"/>
            </w:tcBorders>
            <w:shd w:val="clear" w:color="auto" w:fill="D6E3BC" w:themeFill="accent3" w:themeFillTint="66"/>
          </w:tcPr>
          <w:p w:rsidR="009F1D00" w:rsidRPr="00E62267" w:rsidRDefault="009F1D00" w:rsidP="009F1D00">
            <w:pPr>
              <w:jc w:val="center"/>
              <w:rPr>
                <w:color w:val="000000" w:themeColor="text1"/>
                <w:sz w:val="21"/>
                <w:szCs w:val="21"/>
              </w:rPr>
            </w:pPr>
            <w:r w:rsidRPr="00E62267">
              <w:rPr>
                <w:color w:val="000000" w:themeColor="text1"/>
                <w:sz w:val="21"/>
                <w:szCs w:val="21"/>
              </w:rPr>
              <w:t>15</w:t>
            </w:r>
            <w:r>
              <w:rPr>
                <w:color w:val="000000" w:themeColor="text1"/>
                <w:sz w:val="21"/>
                <w:szCs w:val="21"/>
              </w:rPr>
              <w:t xml:space="preserve"> - 6</w:t>
            </w:r>
            <w:r w:rsidRPr="00E62267">
              <w:rPr>
                <w:color w:val="000000" w:themeColor="text1"/>
                <w:sz w:val="21"/>
                <w:szCs w:val="21"/>
              </w:rPr>
              <w:t>%</w:t>
            </w:r>
          </w:p>
        </w:tc>
        <w:tc>
          <w:tcPr>
            <w:tcW w:w="1077" w:type="dxa"/>
            <w:tcBorders>
              <w:left w:val="single" w:sz="4" w:space="0" w:color="auto"/>
              <w:right w:val="single" w:sz="4" w:space="0" w:color="auto"/>
            </w:tcBorders>
            <w:shd w:val="clear" w:color="auto" w:fill="D6E3BC" w:themeFill="accent3" w:themeFillTint="66"/>
          </w:tcPr>
          <w:p w:rsidR="009F1D00" w:rsidRDefault="009F1D00" w:rsidP="009F1D00">
            <w:r w:rsidRPr="00327989">
              <w:rPr>
                <w:color w:val="000000" w:themeColor="text1"/>
                <w:sz w:val="21"/>
                <w:szCs w:val="21"/>
              </w:rPr>
              <w:t>15 -</w:t>
            </w:r>
            <w:r>
              <w:rPr>
                <w:color w:val="000000" w:themeColor="text1"/>
                <w:sz w:val="21"/>
                <w:szCs w:val="21"/>
              </w:rPr>
              <w:t xml:space="preserve"> </w:t>
            </w:r>
            <w:r w:rsidRPr="00327989">
              <w:rPr>
                <w:color w:val="000000" w:themeColor="text1"/>
                <w:sz w:val="21"/>
                <w:szCs w:val="21"/>
              </w:rPr>
              <w:t>6%</w:t>
            </w:r>
          </w:p>
        </w:tc>
        <w:tc>
          <w:tcPr>
            <w:tcW w:w="1079" w:type="dxa"/>
            <w:tcBorders>
              <w:left w:val="single" w:sz="4" w:space="0" w:color="auto"/>
            </w:tcBorders>
            <w:shd w:val="clear" w:color="auto" w:fill="D6E3BC" w:themeFill="accent3" w:themeFillTint="66"/>
          </w:tcPr>
          <w:p w:rsidR="009F1D00" w:rsidRDefault="009F1D00" w:rsidP="009F1D00">
            <w:r w:rsidRPr="00327989">
              <w:rPr>
                <w:color w:val="000000" w:themeColor="text1"/>
                <w:sz w:val="21"/>
                <w:szCs w:val="21"/>
              </w:rPr>
              <w:t>15 -</w:t>
            </w:r>
            <w:r>
              <w:rPr>
                <w:color w:val="000000" w:themeColor="text1"/>
                <w:sz w:val="21"/>
                <w:szCs w:val="21"/>
              </w:rPr>
              <w:t xml:space="preserve"> </w:t>
            </w:r>
            <w:r w:rsidRPr="00327989">
              <w:rPr>
                <w:color w:val="000000" w:themeColor="text1"/>
                <w:sz w:val="21"/>
                <w:szCs w:val="21"/>
              </w:rPr>
              <w:t>6%</w:t>
            </w:r>
          </w:p>
        </w:tc>
      </w:tr>
      <w:tr w:rsidR="009F1D00" w:rsidTr="00CD2EE1">
        <w:tc>
          <w:tcPr>
            <w:tcW w:w="1813" w:type="dxa"/>
            <w:vMerge/>
            <w:tcBorders>
              <w:right w:val="single" w:sz="4" w:space="0" w:color="auto"/>
            </w:tcBorders>
            <w:vAlign w:val="center"/>
          </w:tcPr>
          <w:p w:rsidR="009F1D00" w:rsidRPr="00D362BA" w:rsidRDefault="009F1D00" w:rsidP="009F1D00">
            <w:pPr>
              <w:jc w:val="center"/>
              <w:rPr>
                <w:b/>
                <w:color w:val="000000" w:themeColor="text1"/>
                <w:sz w:val="21"/>
                <w:szCs w:val="21"/>
              </w:rPr>
            </w:pPr>
          </w:p>
        </w:tc>
        <w:tc>
          <w:tcPr>
            <w:tcW w:w="284" w:type="dxa"/>
            <w:tcBorders>
              <w:left w:val="single" w:sz="4" w:space="0" w:color="auto"/>
              <w:right w:val="single" w:sz="4" w:space="0" w:color="auto"/>
            </w:tcBorders>
            <w:vAlign w:val="center"/>
          </w:tcPr>
          <w:p w:rsidR="009F1D00" w:rsidRPr="009F1D00" w:rsidRDefault="009F1D00" w:rsidP="00EC075A">
            <w:pPr>
              <w:rPr>
                <w:color w:val="000000" w:themeColor="text1"/>
                <w:sz w:val="21"/>
                <w:szCs w:val="21"/>
              </w:rPr>
            </w:pPr>
            <w:r w:rsidRPr="009F1D00">
              <w:rPr>
                <w:color w:val="000000" w:themeColor="text1"/>
                <w:sz w:val="21"/>
                <w:szCs w:val="21"/>
              </w:rPr>
              <w:t>C</w:t>
            </w:r>
          </w:p>
        </w:tc>
        <w:tc>
          <w:tcPr>
            <w:tcW w:w="1247" w:type="dxa"/>
            <w:tcBorders>
              <w:left w:val="single" w:sz="4" w:space="0" w:color="auto"/>
              <w:right w:val="single" w:sz="4" w:space="0" w:color="auto"/>
            </w:tcBorders>
            <w:shd w:val="clear" w:color="auto" w:fill="FF0000"/>
            <w:vAlign w:val="center"/>
          </w:tcPr>
          <w:p w:rsidR="009F1D00" w:rsidRPr="00477EB2" w:rsidRDefault="009F1D00" w:rsidP="009F1D00">
            <w:pPr>
              <w:jc w:val="center"/>
              <w:rPr>
                <w:b/>
                <w:color w:val="FFFFFF" w:themeColor="background1"/>
              </w:rPr>
            </w:pPr>
            <w:r w:rsidRPr="00477EB2">
              <w:rPr>
                <w:b/>
                <w:color w:val="FFFFFF" w:themeColor="background1"/>
                <w:sz w:val="21"/>
                <w:szCs w:val="21"/>
              </w:rPr>
              <w:t>50%</w:t>
            </w:r>
          </w:p>
        </w:tc>
        <w:tc>
          <w:tcPr>
            <w:tcW w:w="1077" w:type="dxa"/>
            <w:tcBorders>
              <w:left w:val="single" w:sz="4" w:space="0" w:color="auto"/>
              <w:right w:val="single" w:sz="4" w:space="0" w:color="auto"/>
            </w:tcBorders>
            <w:shd w:val="clear" w:color="auto" w:fill="D6E3BC" w:themeFill="accent3" w:themeFillTint="66"/>
            <w:vAlign w:val="center"/>
          </w:tcPr>
          <w:p w:rsidR="009F1D00" w:rsidRDefault="009F1D00" w:rsidP="009F1D00">
            <w:pPr>
              <w:jc w:val="center"/>
            </w:pPr>
            <w:r>
              <w:rPr>
                <w:color w:val="000000" w:themeColor="text1"/>
                <w:sz w:val="21"/>
                <w:szCs w:val="21"/>
              </w:rPr>
              <w:t>2</w:t>
            </w:r>
            <w:r w:rsidRPr="00DE666A">
              <w:rPr>
                <w:color w:val="000000" w:themeColor="text1"/>
                <w:sz w:val="21"/>
                <w:szCs w:val="21"/>
              </w:rPr>
              <w:t>0</w:t>
            </w:r>
            <w:r>
              <w:rPr>
                <w:color w:val="000000" w:themeColor="text1"/>
                <w:sz w:val="21"/>
                <w:szCs w:val="21"/>
              </w:rPr>
              <w:t xml:space="preserve"> - 11</w:t>
            </w:r>
            <w:r w:rsidRPr="00DE666A">
              <w:rPr>
                <w:color w:val="000000" w:themeColor="text1"/>
                <w:sz w:val="21"/>
                <w:szCs w:val="21"/>
              </w:rPr>
              <w:t>%</w:t>
            </w:r>
          </w:p>
        </w:tc>
        <w:tc>
          <w:tcPr>
            <w:tcW w:w="1077" w:type="dxa"/>
            <w:tcBorders>
              <w:left w:val="single" w:sz="4" w:space="0" w:color="auto"/>
              <w:right w:val="single" w:sz="4" w:space="0" w:color="auto"/>
            </w:tcBorders>
            <w:shd w:val="clear" w:color="auto" w:fill="D6E3BC" w:themeFill="accent3" w:themeFillTint="66"/>
            <w:vAlign w:val="center"/>
          </w:tcPr>
          <w:p w:rsidR="009F1D00" w:rsidRDefault="009F1D00" w:rsidP="009F1D00">
            <w:pPr>
              <w:jc w:val="center"/>
            </w:pPr>
            <w:r w:rsidRPr="008078C9">
              <w:rPr>
                <w:color w:val="000000" w:themeColor="text1"/>
                <w:sz w:val="21"/>
                <w:szCs w:val="21"/>
              </w:rPr>
              <w:t>20 - 11%</w:t>
            </w:r>
          </w:p>
        </w:tc>
        <w:tc>
          <w:tcPr>
            <w:tcW w:w="1079" w:type="dxa"/>
            <w:tcBorders>
              <w:left w:val="single" w:sz="4" w:space="0" w:color="auto"/>
            </w:tcBorders>
            <w:shd w:val="clear" w:color="auto" w:fill="D6E3BC" w:themeFill="accent3" w:themeFillTint="66"/>
            <w:vAlign w:val="center"/>
          </w:tcPr>
          <w:p w:rsidR="009F1D00" w:rsidRDefault="009F1D00" w:rsidP="009F1D00">
            <w:pPr>
              <w:jc w:val="center"/>
            </w:pPr>
            <w:r w:rsidRPr="008078C9">
              <w:rPr>
                <w:color w:val="000000" w:themeColor="text1"/>
                <w:sz w:val="21"/>
                <w:szCs w:val="21"/>
              </w:rPr>
              <w:t>20 - 11%</w:t>
            </w:r>
          </w:p>
        </w:tc>
      </w:tr>
      <w:tr w:rsidR="00222E83" w:rsidTr="00CD2EE1">
        <w:tc>
          <w:tcPr>
            <w:tcW w:w="2097" w:type="dxa"/>
            <w:gridSpan w:val="2"/>
            <w:tcBorders>
              <w:right w:val="single" w:sz="4" w:space="0" w:color="auto"/>
            </w:tcBorders>
            <w:vAlign w:val="center"/>
          </w:tcPr>
          <w:p w:rsidR="00EC075A" w:rsidRDefault="00222E83" w:rsidP="00EC075A">
            <w:pPr>
              <w:jc w:val="center"/>
              <w:rPr>
                <w:rFonts w:cs="Arial"/>
                <w:b/>
                <w:color w:val="000000" w:themeColor="text1"/>
                <w:sz w:val="21"/>
                <w:szCs w:val="21"/>
              </w:rPr>
            </w:pPr>
            <w:r w:rsidRPr="009F1D00">
              <w:rPr>
                <w:rFonts w:cs="Arial"/>
                <w:b/>
                <w:color w:val="000000" w:themeColor="text1"/>
                <w:sz w:val="21"/>
                <w:szCs w:val="21"/>
              </w:rPr>
              <w:t>Residential Unclassified Roads</w:t>
            </w:r>
          </w:p>
          <w:p w:rsidR="00222E83" w:rsidRPr="00D362BA" w:rsidRDefault="00222E83" w:rsidP="00EC075A">
            <w:pPr>
              <w:jc w:val="center"/>
              <w:rPr>
                <w:color w:val="000000" w:themeColor="text1"/>
                <w:sz w:val="21"/>
                <w:szCs w:val="21"/>
              </w:rPr>
            </w:pPr>
            <w:r w:rsidRPr="00D362BA">
              <w:rPr>
                <w:color w:val="000000" w:themeColor="text1"/>
                <w:sz w:val="21"/>
                <w:szCs w:val="21"/>
              </w:rPr>
              <w:t>(% RED &amp; AMBER</w:t>
            </w:r>
            <w:r>
              <w:rPr>
                <w:color w:val="000000" w:themeColor="text1"/>
                <w:sz w:val="21"/>
                <w:szCs w:val="21"/>
              </w:rPr>
              <w:t>)</w:t>
            </w:r>
          </w:p>
        </w:tc>
        <w:tc>
          <w:tcPr>
            <w:tcW w:w="1247" w:type="dxa"/>
            <w:tcBorders>
              <w:left w:val="single" w:sz="4" w:space="0" w:color="auto"/>
              <w:right w:val="single" w:sz="4" w:space="0" w:color="auto"/>
            </w:tcBorders>
            <w:shd w:val="clear" w:color="auto" w:fill="FFC000"/>
            <w:vAlign w:val="center"/>
          </w:tcPr>
          <w:p w:rsidR="00222E83" w:rsidRPr="008B238B" w:rsidRDefault="00222E83" w:rsidP="00D36AA2">
            <w:pPr>
              <w:jc w:val="center"/>
              <w:rPr>
                <w:b/>
                <w:color w:val="2C36FC"/>
                <w:sz w:val="21"/>
                <w:szCs w:val="21"/>
              </w:rPr>
            </w:pPr>
            <w:r w:rsidRPr="008B238B">
              <w:rPr>
                <w:b/>
                <w:color w:val="2C36FC"/>
                <w:sz w:val="21"/>
                <w:szCs w:val="21"/>
              </w:rPr>
              <w:t>28-40%</w:t>
            </w:r>
          </w:p>
        </w:tc>
        <w:tc>
          <w:tcPr>
            <w:tcW w:w="1077" w:type="dxa"/>
            <w:tcBorders>
              <w:left w:val="single" w:sz="4" w:space="0" w:color="auto"/>
              <w:right w:val="single" w:sz="4" w:space="0" w:color="auto"/>
            </w:tcBorders>
            <w:shd w:val="clear" w:color="auto" w:fill="FFC000"/>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28-40%</w:t>
            </w:r>
          </w:p>
        </w:tc>
        <w:tc>
          <w:tcPr>
            <w:tcW w:w="1077" w:type="dxa"/>
            <w:tcBorders>
              <w:left w:val="single" w:sz="4" w:space="0" w:color="auto"/>
              <w:righ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14-18%</w:t>
            </w:r>
          </w:p>
        </w:tc>
        <w:tc>
          <w:tcPr>
            <w:tcW w:w="1079" w:type="dxa"/>
            <w:tcBorders>
              <w:lef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14-18%</w:t>
            </w:r>
          </w:p>
        </w:tc>
      </w:tr>
      <w:tr w:rsidR="00222E83" w:rsidTr="00CD2EE1">
        <w:tc>
          <w:tcPr>
            <w:tcW w:w="2097" w:type="dxa"/>
            <w:gridSpan w:val="2"/>
            <w:tcBorders>
              <w:right w:val="single" w:sz="4" w:space="0" w:color="auto"/>
            </w:tcBorders>
            <w:vAlign w:val="center"/>
          </w:tcPr>
          <w:p w:rsidR="00222E83" w:rsidRPr="00D362BA" w:rsidRDefault="00222E83" w:rsidP="00D36AA2">
            <w:pPr>
              <w:jc w:val="center"/>
              <w:rPr>
                <w:b/>
                <w:color w:val="000000" w:themeColor="text1"/>
                <w:sz w:val="21"/>
                <w:szCs w:val="21"/>
              </w:rPr>
            </w:pPr>
            <w:r w:rsidRPr="00D362BA">
              <w:rPr>
                <w:b/>
                <w:color w:val="000000" w:themeColor="text1"/>
                <w:sz w:val="21"/>
                <w:szCs w:val="21"/>
              </w:rPr>
              <w:t>Rural Unclassified Roads</w:t>
            </w:r>
          </w:p>
          <w:p w:rsidR="00222E83" w:rsidRPr="00D362BA" w:rsidRDefault="00222E83" w:rsidP="00D36AA2">
            <w:pPr>
              <w:jc w:val="center"/>
              <w:rPr>
                <w:color w:val="000000" w:themeColor="text1"/>
                <w:sz w:val="21"/>
                <w:szCs w:val="21"/>
              </w:rPr>
            </w:pPr>
            <w:r w:rsidRPr="00D362BA">
              <w:rPr>
                <w:color w:val="000000" w:themeColor="text1"/>
                <w:sz w:val="21"/>
                <w:szCs w:val="21"/>
              </w:rPr>
              <w:t>(% RED &amp; AMBER)</w:t>
            </w:r>
          </w:p>
        </w:tc>
        <w:tc>
          <w:tcPr>
            <w:tcW w:w="1247" w:type="dxa"/>
            <w:tcBorders>
              <w:left w:val="single" w:sz="4" w:space="0" w:color="auto"/>
              <w:right w:val="single" w:sz="4" w:space="0" w:color="auto"/>
            </w:tcBorders>
            <w:shd w:val="clear" w:color="auto" w:fill="FFC000"/>
            <w:vAlign w:val="center"/>
          </w:tcPr>
          <w:p w:rsidR="00222E83" w:rsidRPr="008B238B" w:rsidRDefault="00222E83" w:rsidP="00D36AA2">
            <w:pPr>
              <w:jc w:val="center"/>
              <w:rPr>
                <w:b/>
                <w:color w:val="2C36FC"/>
                <w:sz w:val="21"/>
                <w:szCs w:val="21"/>
              </w:rPr>
            </w:pPr>
            <w:r w:rsidRPr="008B238B">
              <w:rPr>
                <w:b/>
                <w:color w:val="2C36FC"/>
                <w:sz w:val="21"/>
                <w:szCs w:val="21"/>
              </w:rPr>
              <w:t>28-40%</w:t>
            </w:r>
          </w:p>
        </w:tc>
        <w:tc>
          <w:tcPr>
            <w:tcW w:w="1077" w:type="dxa"/>
            <w:tcBorders>
              <w:left w:val="single" w:sz="4" w:space="0" w:color="auto"/>
              <w:right w:val="single" w:sz="4" w:space="0" w:color="auto"/>
            </w:tcBorders>
            <w:shd w:val="clear" w:color="auto" w:fill="FFC000"/>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28-40%</w:t>
            </w:r>
          </w:p>
        </w:tc>
        <w:tc>
          <w:tcPr>
            <w:tcW w:w="1077" w:type="dxa"/>
            <w:tcBorders>
              <w:left w:val="single" w:sz="4" w:space="0" w:color="auto"/>
              <w:righ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14-18%</w:t>
            </w:r>
          </w:p>
        </w:tc>
        <w:tc>
          <w:tcPr>
            <w:tcW w:w="1079" w:type="dxa"/>
            <w:tcBorders>
              <w:lef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14-18%</w:t>
            </w:r>
          </w:p>
        </w:tc>
      </w:tr>
      <w:tr w:rsidR="00222E83" w:rsidTr="00CD2EE1">
        <w:tc>
          <w:tcPr>
            <w:tcW w:w="2097" w:type="dxa"/>
            <w:gridSpan w:val="2"/>
            <w:tcBorders>
              <w:right w:val="single" w:sz="4" w:space="0" w:color="auto"/>
            </w:tcBorders>
            <w:vAlign w:val="center"/>
          </w:tcPr>
          <w:p w:rsidR="00222E83" w:rsidRPr="00D362BA" w:rsidRDefault="00222E83" w:rsidP="00D36AA2">
            <w:pPr>
              <w:jc w:val="center"/>
              <w:rPr>
                <w:color w:val="000000" w:themeColor="text1"/>
                <w:sz w:val="21"/>
                <w:szCs w:val="21"/>
              </w:rPr>
            </w:pPr>
            <w:r w:rsidRPr="00D362BA">
              <w:rPr>
                <w:b/>
                <w:color w:val="000000" w:themeColor="text1"/>
                <w:sz w:val="21"/>
                <w:szCs w:val="21"/>
              </w:rPr>
              <w:t xml:space="preserve">Footways </w:t>
            </w:r>
          </w:p>
          <w:p w:rsidR="00222E83" w:rsidRPr="00D362BA" w:rsidRDefault="00222E83" w:rsidP="00D36AA2">
            <w:pPr>
              <w:jc w:val="center"/>
              <w:rPr>
                <w:color w:val="000000" w:themeColor="text1"/>
                <w:sz w:val="21"/>
                <w:szCs w:val="21"/>
              </w:rPr>
            </w:pPr>
            <w:r w:rsidRPr="00D362BA">
              <w:rPr>
                <w:color w:val="000000" w:themeColor="text1"/>
                <w:sz w:val="21"/>
                <w:szCs w:val="21"/>
              </w:rPr>
              <w:t>(Number of defects)</w:t>
            </w:r>
          </w:p>
        </w:tc>
        <w:tc>
          <w:tcPr>
            <w:tcW w:w="1247" w:type="dxa"/>
            <w:tcBorders>
              <w:left w:val="single" w:sz="4" w:space="0" w:color="auto"/>
              <w:right w:val="single" w:sz="4" w:space="0" w:color="auto"/>
            </w:tcBorders>
            <w:shd w:val="clear" w:color="auto" w:fill="FFC000"/>
            <w:vAlign w:val="center"/>
          </w:tcPr>
          <w:p w:rsidR="00222E83" w:rsidRPr="008B238B" w:rsidRDefault="00222E83" w:rsidP="00D36AA2">
            <w:pPr>
              <w:jc w:val="center"/>
              <w:rPr>
                <w:b/>
                <w:color w:val="2C36FC"/>
                <w:sz w:val="21"/>
                <w:szCs w:val="21"/>
              </w:rPr>
            </w:pPr>
            <w:r w:rsidRPr="008B238B">
              <w:rPr>
                <w:b/>
                <w:color w:val="2C36FC"/>
                <w:sz w:val="21"/>
                <w:szCs w:val="21"/>
              </w:rPr>
              <w:t>50,000-60,000</w:t>
            </w:r>
          </w:p>
        </w:tc>
        <w:tc>
          <w:tcPr>
            <w:tcW w:w="1077" w:type="dxa"/>
            <w:tcBorders>
              <w:left w:val="single" w:sz="4" w:space="0" w:color="auto"/>
              <w:right w:val="single" w:sz="4" w:space="0" w:color="auto"/>
            </w:tcBorders>
            <w:shd w:val="clear" w:color="auto" w:fill="92D050"/>
            <w:vAlign w:val="center"/>
          </w:tcPr>
          <w:p w:rsidR="00222E83" w:rsidRPr="007D13FB" w:rsidRDefault="00222E83" w:rsidP="00D36AA2">
            <w:pPr>
              <w:jc w:val="center"/>
              <w:rPr>
                <w:b/>
                <w:color w:val="FFFFFF" w:themeColor="background1"/>
                <w:sz w:val="21"/>
                <w:szCs w:val="21"/>
              </w:rPr>
            </w:pPr>
            <w:r w:rsidRPr="007D13FB">
              <w:rPr>
                <w:b/>
                <w:color w:val="FFFFFF" w:themeColor="background1"/>
                <w:sz w:val="21"/>
                <w:szCs w:val="21"/>
              </w:rPr>
              <w:t>&lt;15,000</w:t>
            </w:r>
          </w:p>
        </w:tc>
        <w:tc>
          <w:tcPr>
            <w:tcW w:w="1077" w:type="dxa"/>
            <w:tcBorders>
              <w:left w:val="single" w:sz="4" w:space="0" w:color="auto"/>
              <w:right w:val="single" w:sz="4" w:space="0" w:color="auto"/>
            </w:tcBorders>
            <w:shd w:val="clear" w:color="auto" w:fill="92D050"/>
            <w:vAlign w:val="center"/>
          </w:tcPr>
          <w:p w:rsidR="00222E83" w:rsidRPr="007D13FB" w:rsidRDefault="00222E83" w:rsidP="00D36AA2">
            <w:pPr>
              <w:jc w:val="center"/>
              <w:rPr>
                <w:b/>
                <w:color w:val="000000" w:themeColor="text1"/>
                <w:sz w:val="21"/>
                <w:szCs w:val="21"/>
              </w:rPr>
            </w:pPr>
            <w:r w:rsidRPr="007D13FB">
              <w:rPr>
                <w:b/>
                <w:color w:val="FFFFFF" w:themeColor="background1"/>
                <w:sz w:val="21"/>
                <w:szCs w:val="21"/>
              </w:rPr>
              <w:t>&lt;15,000</w:t>
            </w:r>
          </w:p>
        </w:tc>
        <w:tc>
          <w:tcPr>
            <w:tcW w:w="1079" w:type="dxa"/>
            <w:tcBorders>
              <w:left w:val="single" w:sz="4" w:space="0" w:color="auto"/>
            </w:tcBorders>
            <w:shd w:val="clear" w:color="auto" w:fill="92D050"/>
            <w:vAlign w:val="center"/>
          </w:tcPr>
          <w:p w:rsidR="00222E83" w:rsidRPr="007D13FB" w:rsidRDefault="00222E83" w:rsidP="00D36AA2">
            <w:pPr>
              <w:jc w:val="center"/>
              <w:rPr>
                <w:b/>
                <w:color w:val="000000" w:themeColor="text1"/>
                <w:sz w:val="21"/>
                <w:szCs w:val="21"/>
              </w:rPr>
            </w:pPr>
            <w:r w:rsidRPr="007D13FB">
              <w:rPr>
                <w:b/>
                <w:color w:val="FFFFFF" w:themeColor="background1"/>
                <w:sz w:val="21"/>
                <w:szCs w:val="21"/>
              </w:rPr>
              <w:t>&lt;15,000</w:t>
            </w:r>
          </w:p>
        </w:tc>
      </w:tr>
      <w:tr w:rsidR="00222E83" w:rsidTr="00CD2EE1">
        <w:trPr>
          <w:trHeight w:val="454"/>
        </w:trPr>
        <w:tc>
          <w:tcPr>
            <w:tcW w:w="2097" w:type="dxa"/>
            <w:gridSpan w:val="2"/>
            <w:tcBorders>
              <w:right w:val="single" w:sz="4" w:space="0" w:color="auto"/>
            </w:tcBorders>
            <w:vAlign w:val="center"/>
          </w:tcPr>
          <w:p w:rsidR="00222E83" w:rsidRPr="00D362BA" w:rsidRDefault="00222E83" w:rsidP="00D36AA2">
            <w:pPr>
              <w:jc w:val="center"/>
              <w:rPr>
                <w:color w:val="000000" w:themeColor="text1"/>
                <w:sz w:val="21"/>
                <w:szCs w:val="21"/>
              </w:rPr>
            </w:pPr>
            <w:r w:rsidRPr="00D362BA">
              <w:rPr>
                <w:b/>
                <w:color w:val="000000" w:themeColor="text1"/>
                <w:sz w:val="21"/>
                <w:szCs w:val="21"/>
              </w:rPr>
              <w:t xml:space="preserve">Bridges </w:t>
            </w:r>
            <w:r>
              <w:rPr>
                <w:b/>
                <w:color w:val="000000" w:themeColor="text1"/>
                <w:sz w:val="21"/>
                <w:szCs w:val="21"/>
              </w:rPr>
              <w:t>and</w:t>
            </w:r>
            <w:r w:rsidRPr="00D362BA">
              <w:rPr>
                <w:b/>
                <w:color w:val="000000" w:themeColor="text1"/>
                <w:sz w:val="21"/>
                <w:szCs w:val="21"/>
              </w:rPr>
              <w:t xml:space="preserve"> Similar Structures</w:t>
            </w:r>
            <w:r w:rsidRPr="00D362BA">
              <w:rPr>
                <w:color w:val="000000" w:themeColor="text1"/>
                <w:sz w:val="21"/>
                <w:szCs w:val="21"/>
              </w:rPr>
              <w:t xml:space="preserve"> Bridge Condition Index (Ave.)</w:t>
            </w:r>
          </w:p>
        </w:tc>
        <w:tc>
          <w:tcPr>
            <w:tcW w:w="1247" w:type="dxa"/>
            <w:tcBorders>
              <w:left w:val="single" w:sz="4" w:space="0" w:color="auto"/>
              <w:right w:val="single" w:sz="4" w:space="0" w:color="auto"/>
            </w:tcBorders>
            <w:shd w:val="clear" w:color="auto" w:fill="D6E3BC" w:themeFill="accent3" w:themeFillTint="66"/>
            <w:vAlign w:val="center"/>
          </w:tcPr>
          <w:p w:rsidR="00222E83" w:rsidRPr="008B238B" w:rsidRDefault="00222E83" w:rsidP="00D36AA2">
            <w:pPr>
              <w:jc w:val="center"/>
              <w:rPr>
                <w:b/>
                <w:color w:val="2C36FC"/>
                <w:sz w:val="21"/>
                <w:szCs w:val="21"/>
              </w:rPr>
            </w:pPr>
            <w:r w:rsidRPr="008B238B">
              <w:rPr>
                <w:b/>
                <w:color w:val="2C36FC"/>
                <w:sz w:val="21"/>
                <w:szCs w:val="21"/>
              </w:rPr>
              <w:t>80-90</w:t>
            </w:r>
          </w:p>
        </w:tc>
        <w:tc>
          <w:tcPr>
            <w:tcW w:w="1077" w:type="dxa"/>
            <w:tcBorders>
              <w:left w:val="single" w:sz="4" w:space="0" w:color="auto"/>
              <w:righ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80-90</w:t>
            </w:r>
          </w:p>
        </w:tc>
        <w:tc>
          <w:tcPr>
            <w:tcW w:w="1077" w:type="dxa"/>
            <w:tcBorders>
              <w:left w:val="single" w:sz="4" w:space="0" w:color="auto"/>
              <w:righ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80-90</w:t>
            </w:r>
          </w:p>
        </w:tc>
        <w:tc>
          <w:tcPr>
            <w:tcW w:w="1079" w:type="dxa"/>
            <w:tcBorders>
              <w:lef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80-90</w:t>
            </w:r>
          </w:p>
        </w:tc>
      </w:tr>
      <w:tr w:rsidR="00222E83" w:rsidTr="00EC075A">
        <w:tc>
          <w:tcPr>
            <w:tcW w:w="2097" w:type="dxa"/>
            <w:gridSpan w:val="2"/>
            <w:tcBorders>
              <w:right w:val="single" w:sz="4" w:space="0" w:color="auto"/>
            </w:tcBorders>
            <w:vAlign w:val="center"/>
          </w:tcPr>
          <w:p w:rsidR="00222E83" w:rsidRPr="00D362BA" w:rsidRDefault="00222E83" w:rsidP="00D36AA2">
            <w:pPr>
              <w:jc w:val="center"/>
              <w:rPr>
                <w:b/>
                <w:color w:val="000000" w:themeColor="text1"/>
                <w:sz w:val="21"/>
                <w:szCs w:val="21"/>
              </w:rPr>
            </w:pPr>
            <w:r w:rsidRPr="00D362BA">
              <w:rPr>
                <w:b/>
                <w:color w:val="000000" w:themeColor="text1"/>
                <w:sz w:val="21"/>
                <w:szCs w:val="21"/>
              </w:rPr>
              <w:t>Street Lighting</w:t>
            </w:r>
          </w:p>
          <w:p w:rsidR="00222E83" w:rsidRPr="00D362BA" w:rsidRDefault="00222E83" w:rsidP="00D36AA2">
            <w:pPr>
              <w:jc w:val="center"/>
              <w:rPr>
                <w:color w:val="000000" w:themeColor="text1"/>
                <w:sz w:val="21"/>
                <w:szCs w:val="21"/>
              </w:rPr>
            </w:pPr>
            <w:r w:rsidRPr="00D362BA">
              <w:rPr>
                <w:color w:val="000000" w:themeColor="text1"/>
                <w:sz w:val="21"/>
                <w:szCs w:val="21"/>
              </w:rPr>
              <w:t xml:space="preserve">(% of </w:t>
            </w:r>
            <w:r>
              <w:rPr>
                <w:color w:val="000000" w:themeColor="text1"/>
                <w:sz w:val="21"/>
                <w:szCs w:val="21"/>
              </w:rPr>
              <w:t>high risk installations)</w:t>
            </w:r>
          </w:p>
        </w:tc>
        <w:tc>
          <w:tcPr>
            <w:tcW w:w="1247" w:type="dxa"/>
            <w:tcBorders>
              <w:left w:val="single" w:sz="4" w:space="0" w:color="auto"/>
              <w:right w:val="single" w:sz="4" w:space="0" w:color="auto"/>
            </w:tcBorders>
            <w:shd w:val="clear" w:color="auto" w:fill="FFFF00"/>
            <w:vAlign w:val="center"/>
          </w:tcPr>
          <w:p w:rsidR="00222E83" w:rsidRPr="008B238B" w:rsidRDefault="00222E83" w:rsidP="00D36AA2">
            <w:pPr>
              <w:jc w:val="center"/>
              <w:rPr>
                <w:b/>
                <w:i/>
                <w:color w:val="2C36FC"/>
                <w:sz w:val="21"/>
                <w:szCs w:val="21"/>
                <w:u w:val="single"/>
              </w:rPr>
            </w:pPr>
            <w:r w:rsidRPr="008B238B">
              <w:rPr>
                <w:b/>
                <w:color w:val="2C36FC"/>
                <w:sz w:val="21"/>
                <w:szCs w:val="21"/>
              </w:rPr>
              <w:t>20-25%</w:t>
            </w:r>
          </w:p>
        </w:tc>
        <w:tc>
          <w:tcPr>
            <w:tcW w:w="1077" w:type="dxa"/>
            <w:tcBorders>
              <w:left w:val="single" w:sz="4" w:space="0" w:color="auto"/>
              <w:right w:val="single" w:sz="4" w:space="0" w:color="auto"/>
            </w:tcBorders>
            <w:shd w:val="clear" w:color="auto" w:fill="FFC000"/>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25-35%</w:t>
            </w:r>
          </w:p>
        </w:tc>
        <w:tc>
          <w:tcPr>
            <w:tcW w:w="1077" w:type="dxa"/>
            <w:tcBorders>
              <w:left w:val="single" w:sz="4" w:space="0" w:color="auto"/>
              <w:right w:val="single" w:sz="4" w:space="0" w:color="auto"/>
            </w:tcBorders>
            <w:shd w:val="clear" w:color="auto" w:fill="FFC000"/>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25-35%</w:t>
            </w:r>
          </w:p>
        </w:tc>
        <w:tc>
          <w:tcPr>
            <w:tcW w:w="1079" w:type="dxa"/>
            <w:tcBorders>
              <w:left w:val="single" w:sz="4" w:space="0" w:color="auto"/>
            </w:tcBorders>
            <w:shd w:val="clear" w:color="auto" w:fill="FFC000"/>
            <w:vAlign w:val="center"/>
          </w:tcPr>
          <w:p w:rsidR="00222E83" w:rsidRPr="007D13FB" w:rsidRDefault="00222E83" w:rsidP="00D36AA2">
            <w:pPr>
              <w:jc w:val="center"/>
              <w:rPr>
                <w:color w:val="000000" w:themeColor="text1"/>
                <w:sz w:val="21"/>
                <w:szCs w:val="21"/>
              </w:rPr>
            </w:pPr>
            <w:r w:rsidRPr="007D13FB">
              <w:rPr>
                <w:color w:val="000000" w:themeColor="text1"/>
                <w:sz w:val="21"/>
                <w:szCs w:val="21"/>
              </w:rPr>
              <w:t>25-35%</w:t>
            </w:r>
          </w:p>
        </w:tc>
      </w:tr>
      <w:tr w:rsidR="00222E83" w:rsidTr="00CD2EE1">
        <w:tc>
          <w:tcPr>
            <w:tcW w:w="2097" w:type="dxa"/>
            <w:gridSpan w:val="2"/>
            <w:tcBorders>
              <w:right w:val="single" w:sz="4" w:space="0" w:color="auto"/>
            </w:tcBorders>
            <w:vAlign w:val="center"/>
          </w:tcPr>
          <w:p w:rsidR="00222E83" w:rsidRPr="00D362BA" w:rsidRDefault="00222E83" w:rsidP="00D36AA2">
            <w:pPr>
              <w:jc w:val="center"/>
              <w:rPr>
                <w:b/>
                <w:color w:val="000000" w:themeColor="text1"/>
                <w:sz w:val="21"/>
                <w:szCs w:val="21"/>
              </w:rPr>
            </w:pPr>
            <w:r w:rsidRPr="00D362BA">
              <w:rPr>
                <w:b/>
                <w:color w:val="000000" w:themeColor="text1"/>
                <w:sz w:val="21"/>
                <w:szCs w:val="21"/>
              </w:rPr>
              <w:t>Traffic Signals</w:t>
            </w:r>
          </w:p>
          <w:p w:rsidR="00222E83" w:rsidRPr="00D362BA" w:rsidRDefault="00222E83" w:rsidP="00D36AA2">
            <w:pPr>
              <w:jc w:val="center"/>
              <w:rPr>
                <w:color w:val="000000" w:themeColor="text1"/>
                <w:sz w:val="21"/>
                <w:szCs w:val="21"/>
              </w:rPr>
            </w:pPr>
            <w:r w:rsidRPr="00D362BA">
              <w:rPr>
                <w:color w:val="000000" w:themeColor="text1"/>
                <w:sz w:val="21"/>
                <w:szCs w:val="21"/>
              </w:rPr>
              <w:t>(% of units beyond design life)</w:t>
            </w:r>
          </w:p>
        </w:tc>
        <w:tc>
          <w:tcPr>
            <w:tcW w:w="1247" w:type="dxa"/>
            <w:tcBorders>
              <w:left w:val="single" w:sz="4" w:space="0" w:color="auto"/>
              <w:right w:val="single" w:sz="4" w:space="0" w:color="auto"/>
            </w:tcBorders>
            <w:shd w:val="clear" w:color="auto" w:fill="FFC000"/>
            <w:vAlign w:val="center"/>
          </w:tcPr>
          <w:p w:rsidR="00222E83" w:rsidRPr="008B238B" w:rsidRDefault="00222E83" w:rsidP="00D36AA2">
            <w:pPr>
              <w:jc w:val="center"/>
              <w:rPr>
                <w:b/>
                <w:color w:val="2C36FC"/>
                <w:sz w:val="21"/>
                <w:szCs w:val="21"/>
              </w:rPr>
            </w:pPr>
            <w:r w:rsidRPr="008B238B">
              <w:rPr>
                <w:b/>
                <w:color w:val="2C36FC"/>
                <w:sz w:val="21"/>
                <w:szCs w:val="21"/>
              </w:rPr>
              <w:t>15-20%</w:t>
            </w:r>
          </w:p>
        </w:tc>
        <w:tc>
          <w:tcPr>
            <w:tcW w:w="1077" w:type="dxa"/>
            <w:tcBorders>
              <w:left w:val="single" w:sz="4" w:space="0" w:color="auto"/>
              <w:right w:val="single" w:sz="4" w:space="0" w:color="auto"/>
            </w:tcBorders>
            <w:shd w:val="clear" w:color="auto" w:fill="FFC000"/>
            <w:vAlign w:val="center"/>
          </w:tcPr>
          <w:p w:rsidR="00222E83" w:rsidRPr="007D13FB" w:rsidRDefault="00222E83" w:rsidP="00D36AA2">
            <w:pPr>
              <w:jc w:val="center"/>
              <w:rPr>
                <w:color w:val="000000" w:themeColor="text1"/>
                <w:sz w:val="21"/>
                <w:szCs w:val="21"/>
              </w:rPr>
            </w:pPr>
            <w:r>
              <w:rPr>
                <w:color w:val="000000" w:themeColor="text1"/>
                <w:sz w:val="21"/>
                <w:szCs w:val="21"/>
              </w:rPr>
              <w:t>30-40</w:t>
            </w:r>
            <w:r w:rsidRPr="007D13FB">
              <w:rPr>
                <w:color w:val="000000" w:themeColor="text1"/>
                <w:sz w:val="21"/>
                <w:szCs w:val="21"/>
              </w:rPr>
              <w:t>%</w:t>
            </w:r>
          </w:p>
        </w:tc>
        <w:tc>
          <w:tcPr>
            <w:tcW w:w="1077" w:type="dxa"/>
            <w:tcBorders>
              <w:left w:val="single" w:sz="4" w:space="0" w:color="auto"/>
              <w:right w:val="single" w:sz="4" w:space="0" w:color="auto"/>
            </w:tcBorders>
            <w:shd w:val="clear" w:color="auto" w:fill="FFFF00"/>
            <w:vAlign w:val="center"/>
          </w:tcPr>
          <w:p w:rsidR="00222E83" w:rsidRPr="007D13FB" w:rsidRDefault="00222E83" w:rsidP="00D36AA2">
            <w:pPr>
              <w:jc w:val="center"/>
              <w:rPr>
                <w:color w:val="000000" w:themeColor="text1"/>
                <w:sz w:val="21"/>
                <w:szCs w:val="21"/>
              </w:rPr>
            </w:pPr>
            <w:r>
              <w:rPr>
                <w:color w:val="000000" w:themeColor="text1"/>
                <w:sz w:val="21"/>
                <w:szCs w:val="21"/>
              </w:rPr>
              <w:t>20-30%</w:t>
            </w:r>
          </w:p>
        </w:tc>
        <w:tc>
          <w:tcPr>
            <w:tcW w:w="1079" w:type="dxa"/>
            <w:tcBorders>
              <w:left w:val="single" w:sz="4" w:space="0" w:color="auto"/>
            </w:tcBorders>
            <w:shd w:val="clear" w:color="auto" w:fill="D6E3BC" w:themeFill="accent3" w:themeFillTint="66"/>
            <w:vAlign w:val="center"/>
          </w:tcPr>
          <w:p w:rsidR="00222E83" w:rsidRPr="007D13FB" w:rsidRDefault="00222E83" w:rsidP="00D36AA2">
            <w:pPr>
              <w:jc w:val="center"/>
              <w:rPr>
                <w:color w:val="000000" w:themeColor="text1"/>
                <w:sz w:val="21"/>
                <w:szCs w:val="21"/>
              </w:rPr>
            </w:pPr>
            <w:r>
              <w:rPr>
                <w:color w:val="000000" w:themeColor="text1"/>
                <w:sz w:val="21"/>
                <w:szCs w:val="21"/>
              </w:rPr>
              <w:t>&lt;10%</w:t>
            </w:r>
          </w:p>
        </w:tc>
      </w:tr>
    </w:tbl>
    <w:p w:rsidR="00222E83" w:rsidRDefault="00222E83" w:rsidP="00931524">
      <w:pPr>
        <w:spacing w:after="0"/>
        <w:jc w:val="both"/>
        <w:rPr>
          <w:color w:val="000000" w:themeColor="text1"/>
        </w:rPr>
      </w:pPr>
    </w:p>
    <w:p w:rsidR="00222E83" w:rsidRDefault="00222E83" w:rsidP="00931524">
      <w:pPr>
        <w:spacing w:after="0"/>
        <w:jc w:val="both"/>
        <w:rPr>
          <w:color w:val="000000" w:themeColor="text1"/>
        </w:rPr>
      </w:pPr>
      <w:r w:rsidRPr="00847B19">
        <w:rPr>
          <w:color w:val="000000" w:themeColor="text1"/>
        </w:rPr>
        <w:t>The overall condition of the transport infrastructure asset has been determined by assigning scores to each service standard</w:t>
      </w:r>
      <w:r>
        <w:rPr>
          <w:color w:val="000000" w:themeColor="text1"/>
        </w:rPr>
        <w:t>.  A weighted score has been produced by</w:t>
      </w:r>
      <w:r w:rsidRPr="00847B19">
        <w:rPr>
          <w:color w:val="000000" w:themeColor="text1"/>
        </w:rPr>
        <w:t xml:space="preserve"> </w:t>
      </w:r>
      <w:r>
        <w:rPr>
          <w:color w:val="000000" w:themeColor="text1"/>
        </w:rPr>
        <w:t xml:space="preserve">multiplying each score by the asset valuation.  A weighted average is calculated by dividing the total weighted </w:t>
      </w:r>
      <w:r w:rsidRPr="00847B19">
        <w:rPr>
          <w:color w:val="000000" w:themeColor="text1"/>
        </w:rPr>
        <w:t xml:space="preserve">scoring </w:t>
      </w:r>
      <w:r>
        <w:rPr>
          <w:color w:val="000000" w:themeColor="text1"/>
        </w:rPr>
        <w:t xml:space="preserve">by the total value of the asset, </w:t>
      </w:r>
      <w:r w:rsidRPr="00847B19">
        <w:rPr>
          <w:color w:val="000000" w:themeColor="text1"/>
        </w:rPr>
        <w:t>as detailed below</w:t>
      </w:r>
    </w:p>
    <w:p w:rsidR="00692320" w:rsidRDefault="00692320" w:rsidP="00931524">
      <w:pPr>
        <w:spacing w:after="0"/>
        <w:jc w:val="both"/>
        <w:rPr>
          <w:color w:val="000000" w:themeColor="text1"/>
        </w:rPr>
      </w:pPr>
    </w:p>
    <w:p w:rsidR="00931524" w:rsidRDefault="00931524" w:rsidP="00931524">
      <w:pPr>
        <w:spacing w:after="0"/>
        <w:jc w:val="both"/>
        <w:rPr>
          <w:color w:val="000000" w:themeColor="text1"/>
        </w:rPr>
      </w:pPr>
    </w:p>
    <w:tbl>
      <w:tblPr>
        <w:tblStyle w:val="TableGrid"/>
        <w:tblW w:w="0" w:type="auto"/>
        <w:tblInd w:w="108" w:type="dxa"/>
        <w:tblLook w:val="04A0" w:firstRow="1" w:lastRow="0" w:firstColumn="1" w:lastColumn="0" w:noHBand="0" w:noVBand="1"/>
      </w:tblPr>
      <w:tblGrid>
        <w:gridCol w:w="1173"/>
        <w:gridCol w:w="1659"/>
        <w:gridCol w:w="1224"/>
        <w:gridCol w:w="1270"/>
        <w:gridCol w:w="1487"/>
      </w:tblGrid>
      <w:tr w:rsidR="00692320" w:rsidTr="005019D9">
        <w:trPr>
          <w:trHeight w:val="283"/>
        </w:trPr>
        <w:tc>
          <w:tcPr>
            <w:tcW w:w="6813" w:type="dxa"/>
            <w:gridSpan w:val="5"/>
            <w:shd w:val="clear" w:color="auto" w:fill="FBD4B4" w:themeFill="accent6" w:themeFillTint="66"/>
          </w:tcPr>
          <w:p w:rsidR="00692320" w:rsidRPr="00757AEC" w:rsidRDefault="00692320" w:rsidP="00E742C0">
            <w:pPr>
              <w:jc w:val="center"/>
              <w:rPr>
                <w:b/>
                <w:color w:val="000000" w:themeColor="text1"/>
                <w:sz w:val="20"/>
                <w:szCs w:val="20"/>
              </w:rPr>
            </w:pPr>
            <w:r w:rsidRPr="00757AEC">
              <w:rPr>
                <w:b/>
                <w:color w:val="000000" w:themeColor="text1"/>
                <w:sz w:val="20"/>
                <w:szCs w:val="20"/>
              </w:rPr>
              <w:t>Scores per Service Standard</w:t>
            </w:r>
          </w:p>
        </w:tc>
      </w:tr>
      <w:tr w:rsidR="00692320" w:rsidTr="00CD2EE1">
        <w:trPr>
          <w:trHeight w:val="283"/>
        </w:trPr>
        <w:tc>
          <w:tcPr>
            <w:tcW w:w="1173" w:type="dxa"/>
            <w:shd w:val="clear" w:color="auto" w:fill="FF0000"/>
            <w:vAlign w:val="center"/>
          </w:tcPr>
          <w:p w:rsidR="00692320" w:rsidRPr="00C90008" w:rsidRDefault="00692320" w:rsidP="00E742C0">
            <w:pPr>
              <w:jc w:val="center"/>
              <w:rPr>
                <w:b/>
                <w:color w:val="FFFFFF" w:themeColor="background1"/>
                <w:sz w:val="21"/>
                <w:szCs w:val="21"/>
              </w:rPr>
            </w:pPr>
            <w:r w:rsidRPr="00C90008">
              <w:rPr>
                <w:b/>
                <w:color w:val="FFFFFF" w:themeColor="background1"/>
                <w:sz w:val="21"/>
                <w:szCs w:val="21"/>
              </w:rPr>
              <w:t>POOR</w:t>
            </w:r>
          </w:p>
        </w:tc>
        <w:tc>
          <w:tcPr>
            <w:tcW w:w="1659" w:type="dxa"/>
            <w:shd w:val="clear" w:color="auto" w:fill="FFC000"/>
            <w:vAlign w:val="center"/>
          </w:tcPr>
          <w:p w:rsidR="00692320" w:rsidRPr="00757AEC" w:rsidRDefault="00692320" w:rsidP="00E742C0">
            <w:pPr>
              <w:jc w:val="center"/>
              <w:rPr>
                <w:b/>
                <w:sz w:val="20"/>
                <w:szCs w:val="20"/>
              </w:rPr>
            </w:pPr>
            <w:r w:rsidRPr="00757AEC">
              <w:rPr>
                <w:b/>
                <w:sz w:val="20"/>
                <w:szCs w:val="20"/>
              </w:rPr>
              <w:t>ACCEPTABLE</w:t>
            </w:r>
          </w:p>
        </w:tc>
        <w:tc>
          <w:tcPr>
            <w:tcW w:w="1224" w:type="dxa"/>
            <w:shd w:val="clear" w:color="auto" w:fill="FFFF00"/>
            <w:vAlign w:val="center"/>
          </w:tcPr>
          <w:p w:rsidR="00692320" w:rsidRPr="00757AEC" w:rsidRDefault="00692320" w:rsidP="00E742C0">
            <w:pPr>
              <w:jc w:val="center"/>
              <w:rPr>
                <w:b/>
                <w:color w:val="000000" w:themeColor="text1"/>
                <w:sz w:val="20"/>
                <w:szCs w:val="20"/>
              </w:rPr>
            </w:pPr>
            <w:r w:rsidRPr="00757AEC">
              <w:rPr>
                <w:b/>
                <w:color w:val="000000" w:themeColor="text1"/>
                <w:sz w:val="20"/>
                <w:szCs w:val="20"/>
              </w:rPr>
              <w:t>FAIR</w:t>
            </w:r>
          </w:p>
        </w:tc>
        <w:tc>
          <w:tcPr>
            <w:tcW w:w="1270" w:type="dxa"/>
            <w:shd w:val="clear" w:color="auto" w:fill="D6E3BC" w:themeFill="accent3" w:themeFillTint="66"/>
            <w:vAlign w:val="center"/>
          </w:tcPr>
          <w:p w:rsidR="00692320" w:rsidRPr="00757AEC" w:rsidRDefault="00692320" w:rsidP="00E742C0">
            <w:pPr>
              <w:jc w:val="center"/>
              <w:rPr>
                <w:b/>
                <w:color w:val="000000" w:themeColor="text1"/>
                <w:sz w:val="20"/>
                <w:szCs w:val="20"/>
              </w:rPr>
            </w:pPr>
            <w:r w:rsidRPr="00CD2EE1">
              <w:rPr>
                <w:b/>
                <w:color w:val="000000" w:themeColor="text1"/>
                <w:sz w:val="20"/>
                <w:szCs w:val="20"/>
                <w:shd w:val="clear" w:color="auto" w:fill="D6E3BC" w:themeFill="accent3" w:themeFillTint="66"/>
              </w:rPr>
              <w:t>GOO</w:t>
            </w:r>
            <w:r w:rsidRPr="00757AEC">
              <w:rPr>
                <w:b/>
                <w:color w:val="000000" w:themeColor="text1"/>
                <w:sz w:val="20"/>
                <w:szCs w:val="20"/>
              </w:rPr>
              <w:t>D</w:t>
            </w:r>
          </w:p>
        </w:tc>
        <w:tc>
          <w:tcPr>
            <w:tcW w:w="1487" w:type="dxa"/>
            <w:shd w:val="clear" w:color="auto" w:fill="92D050"/>
            <w:vAlign w:val="center"/>
          </w:tcPr>
          <w:p w:rsidR="00692320" w:rsidRPr="00757AEC" w:rsidRDefault="00692320" w:rsidP="00E742C0">
            <w:pPr>
              <w:jc w:val="center"/>
              <w:rPr>
                <w:b/>
                <w:color w:val="FFFFFF" w:themeColor="background1"/>
                <w:sz w:val="20"/>
                <w:szCs w:val="20"/>
              </w:rPr>
            </w:pPr>
            <w:r w:rsidRPr="00757AEC">
              <w:rPr>
                <w:b/>
                <w:color w:val="FFFFFF" w:themeColor="background1"/>
                <w:sz w:val="20"/>
                <w:szCs w:val="20"/>
              </w:rPr>
              <w:t>EXCELLENT</w:t>
            </w:r>
          </w:p>
        </w:tc>
      </w:tr>
      <w:tr w:rsidR="00692320" w:rsidTr="005019D9">
        <w:trPr>
          <w:trHeight w:val="283"/>
        </w:trPr>
        <w:tc>
          <w:tcPr>
            <w:tcW w:w="1173" w:type="dxa"/>
          </w:tcPr>
          <w:p w:rsidR="00692320" w:rsidRPr="00C90008" w:rsidRDefault="00692320" w:rsidP="00E742C0">
            <w:pPr>
              <w:jc w:val="center"/>
              <w:rPr>
                <w:b/>
                <w:color w:val="000000" w:themeColor="text1"/>
                <w:sz w:val="21"/>
                <w:szCs w:val="21"/>
              </w:rPr>
            </w:pPr>
            <w:r w:rsidRPr="00C90008">
              <w:rPr>
                <w:b/>
                <w:color w:val="000000" w:themeColor="text1"/>
                <w:sz w:val="21"/>
                <w:szCs w:val="21"/>
              </w:rPr>
              <w:t>1</w:t>
            </w:r>
          </w:p>
        </w:tc>
        <w:tc>
          <w:tcPr>
            <w:tcW w:w="1659" w:type="dxa"/>
          </w:tcPr>
          <w:p w:rsidR="00692320" w:rsidRPr="00757AEC" w:rsidRDefault="00692320" w:rsidP="00E742C0">
            <w:pPr>
              <w:jc w:val="center"/>
              <w:rPr>
                <w:b/>
                <w:color w:val="000000" w:themeColor="text1"/>
                <w:sz w:val="20"/>
                <w:szCs w:val="20"/>
              </w:rPr>
            </w:pPr>
            <w:r w:rsidRPr="00757AEC">
              <w:rPr>
                <w:b/>
                <w:color w:val="000000" w:themeColor="text1"/>
                <w:sz w:val="20"/>
                <w:szCs w:val="20"/>
              </w:rPr>
              <w:t>2</w:t>
            </w:r>
          </w:p>
        </w:tc>
        <w:tc>
          <w:tcPr>
            <w:tcW w:w="1224" w:type="dxa"/>
          </w:tcPr>
          <w:p w:rsidR="00692320" w:rsidRPr="00757AEC" w:rsidRDefault="00692320" w:rsidP="00E742C0">
            <w:pPr>
              <w:jc w:val="center"/>
              <w:rPr>
                <w:b/>
                <w:color w:val="000000" w:themeColor="text1"/>
                <w:sz w:val="20"/>
                <w:szCs w:val="20"/>
              </w:rPr>
            </w:pPr>
            <w:r w:rsidRPr="00757AEC">
              <w:rPr>
                <w:b/>
                <w:color w:val="000000" w:themeColor="text1"/>
                <w:sz w:val="20"/>
                <w:szCs w:val="20"/>
              </w:rPr>
              <w:t>3</w:t>
            </w:r>
          </w:p>
        </w:tc>
        <w:tc>
          <w:tcPr>
            <w:tcW w:w="1270" w:type="dxa"/>
          </w:tcPr>
          <w:p w:rsidR="00692320" w:rsidRPr="00757AEC" w:rsidRDefault="00692320" w:rsidP="00E742C0">
            <w:pPr>
              <w:jc w:val="center"/>
              <w:rPr>
                <w:b/>
                <w:color w:val="000000" w:themeColor="text1"/>
                <w:sz w:val="20"/>
                <w:szCs w:val="20"/>
              </w:rPr>
            </w:pPr>
            <w:r w:rsidRPr="00757AEC">
              <w:rPr>
                <w:b/>
                <w:color w:val="000000" w:themeColor="text1"/>
                <w:sz w:val="20"/>
                <w:szCs w:val="20"/>
              </w:rPr>
              <w:t>4</w:t>
            </w:r>
          </w:p>
        </w:tc>
        <w:tc>
          <w:tcPr>
            <w:tcW w:w="1487" w:type="dxa"/>
          </w:tcPr>
          <w:p w:rsidR="00692320" w:rsidRPr="00757AEC" w:rsidRDefault="00692320" w:rsidP="00E742C0">
            <w:pPr>
              <w:jc w:val="center"/>
              <w:rPr>
                <w:b/>
                <w:color w:val="000000" w:themeColor="text1"/>
                <w:sz w:val="20"/>
                <w:szCs w:val="20"/>
              </w:rPr>
            </w:pPr>
            <w:r w:rsidRPr="00757AEC">
              <w:rPr>
                <w:b/>
                <w:color w:val="000000" w:themeColor="text1"/>
                <w:sz w:val="20"/>
                <w:szCs w:val="20"/>
              </w:rPr>
              <w:t>5</w:t>
            </w:r>
          </w:p>
        </w:tc>
      </w:tr>
    </w:tbl>
    <w:p w:rsidR="00692320" w:rsidRPr="00251AF0" w:rsidRDefault="00692320" w:rsidP="00692320">
      <w:pPr>
        <w:spacing w:after="0" w:line="240" w:lineRule="auto"/>
        <w:jc w:val="both"/>
        <w:rPr>
          <w:color w:val="000000" w:themeColor="text1"/>
          <w:sz w:val="20"/>
          <w:szCs w:val="20"/>
        </w:rPr>
      </w:pPr>
    </w:p>
    <w:p w:rsidR="00692320" w:rsidRDefault="00692320" w:rsidP="004D3B18">
      <w:pPr>
        <w:spacing w:after="0" w:line="240" w:lineRule="auto"/>
        <w:jc w:val="both"/>
        <w:rPr>
          <w:b/>
          <w:color w:val="000000" w:themeColor="text1"/>
        </w:rPr>
      </w:pPr>
      <w:r>
        <w:rPr>
          <w:b/>
          <w:color w:val="000000" w:themeColor="text1"/>
        </w:rPr>
        <w:t xml:space="preserve">Asset </w:t>
      </w:r>
      <w:r w:rsidRPr="003848AA">
        <w:rPr>
          <w:b/>
          <w:color w:val="000000" w:themeColor="text1"/>
        </w:rPr>
        <w:t>Condition</w:t>
      </w:r>
      <w:r>
        <w:rPr>
          <w:b/>
          <w:color w:val="000000" w:themeColor="text1"/>
        </w:rPr>
        <w:t xml:space="preserve"> Summary</w:t>
      </w:r>
      <w:r w:rsidR="00931524">
        <w:rPr>
          <w:b/>
          <w:color w:val="000000" w:themeColor="text1"/>
        </w:rPr>
        <w:t xml:space="preserve"> </w:t>
      </w:r>
      <w:r w:rsidR="00C464B5">
        <w:rPr>
          <w:b/>
          <w:color w:val="000000" w:themeColor="text1"/>
        </w:rPr>
        <w:t xml:space="preserve">June </w:t>
      </w:r>
      <w:r w:rsidR="00931524">
        <w:rPr>
          <w:b/>
          <w:color w:val="000000" w:themeColor="text1"/>
        </w:rPr>
        <w:t>201</w:t>
      </w:r>
      <w:r w:rsidR="00012F10">
        <w:rPr>
          <w:b/>
          <w:color w:val="000000" w:themeColor="text1"/>
        </w:rPr>
        <w:t>8</w:t>
      </w:r>
    </w:p>
    <w:p w:rsidR="00251AF0" w:rsidRPr="00251AF0" w:rsidRDefault="00251AF0" w:rsidP="004D3B18">
      <w:pPr>
        <w:spacing w:after="0" w:line="240" w:lineRule="auto"/>
        <w:jc w:val="both"/>
        <w:rPr>
          <w:color w:val="000000" w:themeColor="text1"/>
          <w:sz w:val="20"/>
          <w:szCs w:val="20"/>
        </w:rPr>
      </w:pPr>
    </w:p>
    <w:tbl>
      <w:tblPr>
        <w:tblW w:w="7158" w:type="dxa"/>
        <w:tblInd w:w="-10" w:type="dxa"/>
        <w:tblLook w:val="04A0" w:firstRow="1" w:lastRow="0" w:firstColumn="1" w:lastColumn="0" w:noHBand="0" w:noVBand="1"/>
      </w:tblPr>
      <w:tblGrid>
        <w:gridCol w:w="2562"/>
        <w:gridCol w:w="1092"/>
        <w:gridCol w:w="387"/>
        <w:gridCol w:w="1218"/>
        <w:gridCol w:w="765"/>
        <w:gridCol w:w="1134"/>
      </w:tblGrid>
      <w:tr w:rsidR="00342F00" w:rsidRPr="00342F00" w:rsidTr="00012F10">
        <w:trPr>
          <w:trHeight w:val="612"/>
        </w:trPr>
        <w:tc>
          <w:tcPr>
            <w:tcW w:w="25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42F00" w:rsidRPr="00757AEC" w:rsidRDefault="00342F00" w:rsidP="00342F00">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Asset Group</w:t>
            </w:r>
          </w:p>
        </w:tc>
        <w:tc>
          <w:tcPr>
            <w:tcW w:w="10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42F00" w:rsidRPr="00757AEC" w:rsidRDefault="00342F00" w:rsidP="001A64C4">
            <w:pPr>
              <w:spacing w:after="0" w:line="240" w:lineRule="auto"/>
              <w:jc w:val="center"/>
              <w:rPr>
                <w:rFonts w:eastAsia="Times New Roman" w:cs="Arial"/>
                <w:color w:val="000000"/>
                <w:sz w:val="20"/>
                <w:szCs w:val="20"/>
                <w:lang w:eastAsia="en-GB"/>
              </w:rPr>
            </w:pPr>
            <w:r w:rsidRPr="00757AEC">
              <w:rPr>
                <w:rFonts w:eastAsia="Times New Roman" w:cs="Arial"/>
                <w:color w:val="000000" w:themeColor="text1"/>
                <w:sz w:val="20"/>
                <w:szCs w:val="20"/>
                <w:lang w:eastAsia="en-GB"/>
              </w:rPr>
              <w:t>Valuation £ Million 201</w:t>
            </w:r>
            <w:r w:rsidR="001A64C4">
              <w:rPr>
                <w:rFonts w:eastAsia="Times New Roman" w:cs="Arial"/>
                <w:color w:val="000000" w:themeColor="text1"/>
                <w:sz w:val="20"/>
                <w:szCs w:val="20"/>
                <w:lang w:eastAsia="en-GB"/>
              </w:rPr>
              <w:t>7</w:t>
            </w:r>
            <w:r w:rsidRPr="00757AEC">
              <w:rPr>
                <w:rFonts w:eastAsia="Times New Roman" w:cs="Arial"/>
                <w:color w:val="000000" w:themeColor="text1"/>
                <w:sz w:val="20"/>
                <w:szCs w:val="20"/>
                <w:lang w:eastAsia="en-GB"/>
              </w:rPr>
              <w:t>-1</w:t>
            </w:r>
            <w:r w:rsidR="001A64C4">
              <w:rPr>
                <w:rFonts w:eastAsia="Times New Roman" w:cs="Arial"/>
                <w:color w:val="000000" w:themeColor="text1"/>
                <w:sz w:val="20"/>
                <w:szCs w:val="20"/>
                <w:lang w:eastAsia="en-GB"/>
              </w:rPr>
              <w:t>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42F00" w:rsidRPr="00757AEC" w:rsidRDefault="00342F00" w:rsidP="00342F00">
            <w:pPr>
              <w:spacing w:after="0" w:line="240" w:lineRule="auto"/>
              <w:jc w:val="center"/>
              <w:rPr>
                <w:rFonts w:eastAsia="Times New Roman" w:cs="Arial"/>
                <w:color w:val="000000"/>
                <w:sz w:val="20"/>
                <w:szCs w:val="20"/>
                <w:lang w:eastAsia="en-GB"/>
              </w:rPr>
            </w:pPr>
            <w:r w:rsidRPr="00757AEC">
              <w:rPr>
                <w:rFonts w:eastAsia="Times New Roman" w:cs="Arial"/>
                <w:color w:val="000000" w:themeColor="text1"/>
                <w:sz w:val="20"/>
                <w:szCs w:val="20"/>
                <w:lang w:eastAsia="en-GB"/>
              </w:rPr>
              <w:t>Service Standard</w:t>
            </w:r>
          </w:p>
        </w:tc>
        <w:tc>
          <w:tcPr>
            <w:tcW w:w="7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42F00" w:rsidRPr="00757AEC" w:rsidRDefault="00342F00" w:rsidP="00342F00">
            <w:pPr>
              <w:spacing w:after="0" w:line="240" w:lineRule="auto"/>
              <w:jc w:val="center"/>
              <w:rPr>
                <w:rFonts w:eastAsia="Times New Roman" w:cs="Arial"/>
                <w:color w:val="000000"/>
                <w:sz w:val="20"/>
                <w:szCs w:val="20"/>
                <w:lang w:eastAsia="en-GB"/>
              </w:rPr>
            </w:pPr>
            <w:r w:rsidRPr="00757AEC">
              <w:rPr>
                <w:rFonts w:eastAsia="Times New Roman" w:cs="Arial"/>
                <w:color w:val="000000" w:themeColor="text1"/>
                <w:sz w:val="20"/>
                <w:szCs w:val="20"/>
                <w:lang w:eastAsia="en-GB"/>
              </w:rPr>
              <w:t>Score</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42F00" w:rsidRPr="00757AEC" w:rsidRDefault="00342F00" w:rsidP="00342F00">
            <w:pPr>
              <w:spacing w:after="0" w:line="240" w:lineRule="auto"/>
              <w:jc w:val="center"/>
              <w:rPr>
                <w:rFonts w:eastAsia="Times New Roman" w:cs="Arial"/>
                <w:color w:val="000000"/>
                <w:sz w:val="20"/>
                <w:szCs w:val="20"/>
                <w:lang w:eastAsia="en-GB"/>
              </w:rPr>
            </w:pPr>
            <w:r w:rsidRPr="00757AEC">
              <w:rPr>
                <w:rFonts w:eastAsia="Times New Roman" w:cs="Arial"/>
                <w:color w:val="000000" w:themeColor="text1"/>
                <w:sz w:val="20"/>
                <w:szCs w:val="20"/>
                <w:lang w:eastAsia="en-GB"/>
              </w:rPr>
              <w:t>Weighted Score</w:t>
            </w:r>
          </w:p>
        </w:tc>
      </w:tr>
      <w:tr w:rsidR="001A64C4" w:rsidRPr="00342F00" w:rsidTr="002871EC">
        <w:trPr>
          <w:trHeight w:val="324"/>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A Roads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832</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1A64C4" w:rsidRPr="00757AEC" w:rsidRDefault="001A64C4" w:rsidP="001A64C4">
            <w:pPr>
              <w:spacing w:after="0" w:line="240" w:lineRule="auto"/>
              <w:jc w:val="center"/>
              <w:rPr>
                <w:rFonts w:eastAsia="Times New Roman" w:cs="Arial"/>
                <w:b/>
                <w:color w:val="000000"/>
                <w:sz w:val="20"/>
                <w:szCs w:val="20"/>
                <w:lang w:eastAsia="en-GB"/>
              </w:rPr>
            </w:pPr>
            <w:r w:rsidRPr="00757AEC">
              <w:rPr>
                <w:rFonts w:eastAsia="Times New Roman" w:cs="Arial"/>
                <w:b/>
                <w:color w:val="000000"/>
                <w:sz w:val="20"/>
                <w:szCs w:val="20"/>
                <w:lang w:eastAsia="en-GB"/>
              </w:rPr>
              <w:t>ACCEPTABLE</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1,664</w:t>
            </w:r>
          </w:p>
        </w:tc>
      </w:tr>
      <w:tr w:rsidR="001A64C4" w:rsidRPr="00342F00" w:rsidTr="00757AEC">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sz w:val="20"/>
                <w:szCs w:val="20"/>
                <w:lang w:eastAsia="en-GB"/>
              </w:rPr>
              <w:t>B Roads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93F61">
            <w:pPr>
              <w:spacing w:after="0"/>
              <w:jc w:val="center"/>
              <w:rPr>
                <w:rFonts w:cs="Arial"/>
                <w:color w:val="000000"/>
                <w:sz w:val="20"/>
                <w:szCs w:val="20"/>
              </w:rPr>
            </w:pPr>
            <w:r>
              <w:rPr>
                <w:rFonts w:cs="Arial"/>
                <w:color w:val="000000"/>
                <w:sz w:val="20"/>
                <w:szCs w:val="20"/>
              </w:rPr>
              <w:t>49</w:t>
            </w:r>
            <w:r w:rsidR="00193F61">
              <w:rPr>
                <w:rFonts w:cs="Arial"/>
                <w:color w:val="000000"/>
                <w:sz w:val="20"/>
                <w:szCs w:val="20"/>
              </w:rPr>
              <w:t>1</w:t>
            </w:r>
          </w:p>
        </w:tc>
        <w:tc>
          <w:tcPr>
            <w:tcW w:w="1605"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rsidR="001A64C4" w:rsidRPr="00757AEC" w:rsidRDefault="001A64C4" w:rsidP="001A64C4">
            <w:pPr>
              <w:spacing w:after="0" w:line="240" w:lineRule="auto"/>
              <w:jc w:val="center"/>
              <w:rPr>
                <w:rFonts w:eastAsia="Times New Roman" w:cs="Arial"/>
                <w:b/>
                <w:color w:val="000000"/>
                <w:sz w:val="20"/>
                <w:szCs w:val="20"/>
                <w:lang w:eastAsia="en-GB"/>
              </w:rPr>
            </w:pPr>
            <w:r w:rsidRPr="00757AEC">
              <w:rPr>
                <w:rFonts w:eastAsia="Times New Roman" w:cs="Arial"/>
                <w:b/>
                <w:color w:val="000000"/>
                <w:sz w:val="20"/>
                <w:szCs w:val="20"/>
                <w:lang w:eastAsia="en-GB"/>
              </w:rPr>
              <w:t>ACCEPTABLE</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sidRPr="00757AEC">
              <w:rPr>
                <w:rFonts w:eastAsia="Times New Roman" w:cs="Arial"/>
                <w:color w:val="000000"/>
                <w:sz w:val="20"/>
                <w:szCs w:val="20"/>
                <w:lang w:eastAsia="en-GB"/>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C13B0A">
            <w:pPr>
              <w:spacing w:after="0"/>
              <w:jc w:val="center"/>
              <w:rPr>
                <w:rFonts w:cs="Arial"/>
                <w:color w:val="000000"/>
                <w:sz w:val="20"/>
                <w:szCs w:val="20"/>
              </w:rPr>
            </w:pPr>
            <w:r>
              <w:rPr>
                <w:rFonts w:cs="Arial"/>
                <w:color w:val="000000"/>
                <w:sz w:val="20"/>
                <w:szCs w:val="20"/>
              </w:rPr>
              <w:t>98</w:t>
            </w:r>
            <w:r w:rsidR="00C13B0A">
              <w:rPr>
                <w:rFonts w:cs="Arial"/>
                <w:color w:val="000000"/>
                <w:sz w:val="20"/>
                <w:szCs w:val="20"/>
              </w:rPr>
              <w:t>2</w:t>
            </w:r>
          </w:p>
        </w:tc>
      </w:tr>
      <w:tr w:rsidR="001A64C4" w:rsidRPr="00342F00" w:rsidTr="00CD2EE1">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sz w:val="20"/>
                <w:szCs w:val="20"/>
                <w:lang w:eastAsia="en-GB"/>
              </w:rPr>
              <w:t>C Roads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C13B0A">
            <w:pPr>
              <w:spacing w:after="0"/>
              <w:jc w:val="center"/>
              <w:rPr>
                <w:rFonts w:cs="Arial"/>
                <w:color w:val="000000"/>
                <w:sz w:val="20"/>
                <w:szCs w:val="20"/>
              </w:rPr>
            </w:pPr>
            <w:r>
              <w:rPr>
                <w:rFonts w:cs="Arial"/>
                <w:color w:val="000000"/>
                <w:sz w:val="20"/>
                <w:szCs w:val="20"/>
              </w:rPr>
              <w:t>1,40</w:t>
            </w:r>
            <w:r w:rsidR="00C13B0A">
              <w:rPr>
                <w:rFonts w:cs="Arial"/>
                <w:color w:val="000000"/>
                <w:sz w:val="20"/>
                <w:szCs w:val="20"/>
              </w:rPr>
              <w:t>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1A64C4" w:rsidRPr="00757AEC" w:rsidRDefault="001A64C4" w:rsidP="001A64C4">
            <w:pPr>
              <w:spacing w:after="0" w:line="240" w:lineRule="auto"/>
              <w:jc w:val="center"/>
              <w:rPr>
                <w:rFonts w:eastAsia="Times New Roman" w:cs="Arial"/>
                <w:b/>
                <w:color w:val="000000"/>
                <w:sz w:val="20"/>
                <w:szCs w:val="20"/>
                <w:lang w:eastAsia="en-GB"/>
              </w:rPr>
            </w:pPr>
            <w:r w:rsidRPr="00757AEC">
              <w:rPr>
                <w:rFonts w:eastAsia="Times New Roman" w:cs="Arial"/>
                <w:b/>
                <w:color w:val="000000"/>
                <w:sz w:val="20"/>
                <w:szCs w:val="20"/>
                <w:lang w:eastAsia="en-GB"/>
              </w:rPr>
              <w:t>ACCEPTABLE</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sidRPr="00757AEC">
              <w:rPr>
                <w:rFonts w:eastAsia="Times New Roman" w:cs="Arial"/>
                <w:color w:val="000000"/>
                <w:sz w:val="20"/>
                <w:szCs w:val="20"/>
                <w:lang w:eastAsia="en-GB"/>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C13B0A">
            <w:pPr>
              <w:spacing w:after="0"/>
              <w:jc w:val="center"/>
              <w:rPr>
                <w:rFonts w:cs="Arial"/>
                <w:color w:val="000000"/>
                <w:sz w:val="20"/>
                <w:szCs w:val="20"/>
              </w:rPr>
            </w:pPr>
            <w:r>
              <w:rPr>
                <w:rFonts w:cs="Arial"/>
                <w:color w:val="000000"/>
                <w:sz w:val="20"/>
                <w:szCs w:val="20"/>
              </w:rPr>
              <w:t>2,8</w:t>
            </w:r>
            <w:r w:rsidR="00C13B0A">
              <w:rPr>
                <w:rFonts w:cs="Arial"/>
                <w:color w:val="000000"/>
                <w:sz w:val="20"/>
                <w:szCs w:val="20"/>
              </w:rPr>
              <w:t>12</w:t>
            </w:r>
          </w:p>
        </w:tc>
      </w:tr>
      <w:tr w:rsidR="001A64C4" w:rsidRPr="00342F00" w:rsidTr="004D3B18">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C13B0A" w:rsidRDefault="001A64C4" w:rsidP="00C13B0A">
            <w:pPr>
              <w:spacing w:after="0" w:line="240" w:lineRule="auto"/>
              <w:rPr>
                <w:rFonts w:eastAsia="Times New Roman" w:cs="Arial"/>
                <w:color w:val="000000"/>
                <w:sz w:val="22"/>
                <w:lang w:eastAsia="en-GB"/>
              </w:rPr>
            </w:pPr>
            <w:r w:rsidRPr="00C13B0A">
              <w:rPr>
                <w:rFonts w:eastAsia="Times New Roman" w:cs="Arial"/>
                <w:color w:val="000000" w:themeColor="text1"/>
                <w:sz w:val="22"/>
                <w:lang w:eastAsia="en-GB"/>
              </w:rPr>
              <w:t>Residential Unclas</w:t>
            </w:r>
            <w:r w:rsidR="00C13B0A" w:rsidRPr="00C13B0A">
              <w:rPr>
                <w:rFonts w:eastAsia="Times New Roman" w:cs="Arial"/>
                <w:color w:val="000000" w:themeColor="text1"/>
                <w:sz w:val="22"/>
                <w:lang w:eastAsia="en-GB"/>
              </w:rPr>
              <w:t>sified Rods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3,604</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1A64C4" w:rsidRPr="00CE1231" w:rsidRDefault="001A64C4" w:rsidP="001A64C4">
            <w:pPr>
              <w:spacing w:after="0" w:line="240" w:lineRule="auto"/>
              <w:jc w:val="center"/>
              <w:rPr>
                <w:rFonts w:eastAsia="Times New Roman" w:cs="Arial"/>
                <w:b/>
                <w:color w:val="FFFFFF" w:themeColor="background1"/>
                <w:sz w:val="20"/>
                <w:szCs w:val="20"/>
                <w:lang w:eastAsia="en-GB"/>
              </w:rPr>
            </w:pPr>
            <w:r>
              <w:rPr>
                <w:rFonts w:eastAsia="Times New Roman" w:cs="Arial"/>
                <w:b/>
                <w:color w:val="FFFFFF" w:themeColor="background1"/>
                <w:sz w:val="20"/>
                <w:szCs w:val="20"/>
                <w:lang w:eastAsia="en-GB"/>
              </w:rPr>
              <w:t>POOR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3,604</w:t>
            </w:r>
          </w:p>
        </w:tc>
      </w:tr>
      <w:tr w:rsidR="001A64C4" w:rsidRPr="00342F00" w:rsidTr="004D3B18">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Rural Unclassified Roads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1,130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1A64C4" w:rsidRPr="00CE1231" w:rsidRDefault="001A64C4" w:rsidP="001A64C4">
            <w:pPr>
              <w:spacing w:after="0" w:line="240" w:lineRule="auto"/>
              <w:jc w:val="center"/>
              <w:rPr>
                <w:rFonts w:eastAsia="Times New Roman" w:cs="Arial"/>
                <w:b/>
                <w:color w:val="FFFFFF" w:themeColor="background1"/>
                <w:sz w:val="20"/>
                <w:szCs w:val="20"/>
                <w:lang w:eastAsia="en-GB"/>
              </w:rPr>
            </w:pPr>
            <w:r>
              <w:rPr>
                <w:rFonts w:eastAsia="Times New Roman" w:cs="Arial"/>
                <w:b/>
                <w:color w:val="FFFFFF" w:themeColor="background1"/>
                <w:sz w:val="20"/>
                <w:szCs w:val="20"/>
                <w:lang w:eastAsia="en-GB"/>
              </w:rPr>
              <w:t>POOR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1,130</w:t>
            </w:r>
          </w:p>
        </w:tc>
      </w:tr>
      <w:tr w:rsidR="001A64C4" w:rsidRPr="00342F00" w:rsidTr="00CD2EE1">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Footway &amp; Cycle</w:t>
            </w:r>
            <w:r>
              <w:rPr>
                <w:rFonts w:eastAsia="Times New Roman" w:cs="Arial"/>
                <w:color w:val="000000" w:themeColor="text1"/>
                <w:sz w:val="20"/>
                <w:szCs w:val="20"/>
                <w:lang w:eastAsia="en-GB"/>
              </w:rPr>
              <w:t xml:space="preserve"> </w:t>
            </w:r>
            <w:r w:rsidRPr="00757AEC">
              <w:rPr>
                <w:rFonts w:eastAsia="Times New Roman" w:cs="Arial"/>
                <w:color w:val="000000" w:themeColor="text1"/>
                <w:sz w:val="20"/>
                <w:szCs w:val="20"/>
                <w:lang w:eastAsia="en-GB"/>
              </w:rPr>
              <w:t>ways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698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A64C4" w:rsidRPr="00757AEC" w:rsidRDefault="001A64C4" w:rsidP="001A64C4">
            <w:pPr>
              <w:spacing w:after="0" w:line="240" w:lineRule="auto"/>
              <w:jc w:val="center"/>
              <w:rPr>
                <w:rFonts w:eastAsia="Times New Roman" w:cs="Arial"/>
                <w:b/>
                <w:color w:val="000000"/>
                <w:sz w:val="20"/>
                <w:szCs w:val="20"/>
                <w:lang w:eastAsia="en-GB"/>
              </w:rPr>
            </w:pPr>
            <w:r w:rsidRPr="00757AEC">
              <w:rPr>
                <w:b/>
                <w:color w:val="FFFFFF" w:themeColor="background1"/>
                <w:sz w:val="20"/>
                <w:szCs w:val="20"/>
              </w:rPr>
              <w:t>EXCELLENT</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3,490</w:t>
            </w:r>
          </w:p>
        </w:tc>
      </w:tr>
      <w:tr w:rsidR="001A64C4" w:rsidRPr="00342F00" w:rsidTr="00CD2EE1">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Bridges &amp; Similar Structures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1,424</w:t>
            </w:r>
          </w:p>
        </w:tc>
        <w:tc>
          <w:tcPr>
            <w:tcW w:w="160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A64C4" w:rsidRPr="00757AEC" w:rsidRDefault="001A64C4" w:rsidP="001A64C4">
            <w:pPr>
              <w:spacing w:after="0" w:line="240" w:lineRule="auto"/>
              <w:jc w:val="center"/>
              <w:rPr>
                <w:rFonts w:eastAsia="Times New Roman" w:cs="Arial"/>
                <w:b/>
                <w:color w:val="000000"/>
                <w:sz w:val="20"/>
                <w:szCs w:val="20"/>
                <w:lang w:eastAsia="en-GB"/>
              </w:rPr>
            </w:pPr>
            <w:r w:rsidRPr="00CE1231">
              <w:rPr>
                <w:rFonts w:eastAsia="Times New Roman" w:cs="Arial"/>
                <w:b/>
                <w:color w:val="000000" w:themeColor="text1"/>
                <w:sz w:val="20"/>
                <w:szCs w:val="20"/>
                <w:lang w:eastAsia="en-GB"/>
              </w:rPr>
              <w:t>GOOD</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5,696</w:t>
            </w:r>
          </w:p>
        </w:tc>
      </w:tr>
      <w:tr w:rsidR="001A64C4" w:rsidRPr="00342F00" w:rsidTr="00CD2EE1">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Street Lighting</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216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A64C4" w:rsidRPr="00757AEC" w:rsidRDefault="001A64C4" w:rsidP="001A64C4">
            <w:pPr>
              <w:spacing w:after="0" w:line="240" w:lineRule="auto"/>
              <w:jc w:val="center"/>
              <w:rPr>
                <w:rFonts w:eastAsia="Times New Roman" w:cs="Arial"/>
                <w:b/>
                <w:color w:val="000000"/>
                <w:sz w:val="20"/>
                <w:szCs w:val="20"/>
                <w:lang w:eastAsia="en-GB"/>
              </w:rPr>
            </w:pPr>
            <w:r w:rsidRPr="00757AEC">
              <w:rPr>
                <w:rFonts w:eastAsia="Times New Roman" w:cs="Arial"/>
                <w:b/>
                <w:color w:val="000000" w:themeColor="text1"/>
                <w:sz w:val="20"/>
                <w:szCs w:val="20"/>
                <w:lang w:eastAsia="en-GB"/>
              </w:rPr>
              <w:t>GOOD</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sidRPr="00757AEC">
              <w:rPr>
                <w:rFonts w:eastAsia="Times New Roman" w:cs="Arial"/>
                <w:color w:val="000000" w:themeColor="text1"/>
                <w:sz w:val="20"/>
                <w:szCs w:val="20"/>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864</w:t>
            </w:r>
          </w:p>
        </w:tc>
      </w:tr>
      <w:tr w:rsidR="001A64C4" w:rsidRPr="00342F00" w:rsidTr="005C1347">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Traffic Signals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1A64C4" w:rsidP="001A64C4">
            <w:pPr>
              <w:spacing w:after="0"/>
              <w:jc w:val="center"/>
              <w:rPr>
                <w:rFonts w:cs="Arial"/>
                <w:color w:val="000000"/>
                <w:sz w:val="20"/>
                <w:szCs w:val="20"/>
              </w:rPr>
            </w:pPr>
            <w:r>
              <w:rPr>
                <w:rFonts w:cs="Arial"/>
                <w:color w:val="000000"/>
                <w:sz w:val="20"/>
                <w:szCs w:val="20"/>
              </w:rPr>
              <w:t>17</w:t>
            </w:r>
          </w:p>
        </w:tc>
        <w:tc>
          <w:tcPr>
            <w:tcW w:w="160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A64C4" w:rsidRPr="00757AEC" w:rsidRDefault="005C1347" w:rsidP="005C1347">
            <w:pPr>
              <w:spacing w:after="0" w:line="240" w:lineRule="auto"/>
              <w:jc w:val="center"/>
              <w:rPr>
                <w:rFonts w:eastAsia="Times New Roman" w:cs="Arial"/>
                <w:b/>
                <w:color w:val="000000"/>
                <w:sz w:val="20"/>
                <w:szCs w:val="20"/>
                <w:lang w:eastAsia="en-GB"/>
              </w:rPr>
            </w:pPr>
            <w:r>
              <w:rPr>
                <w:rFonts w:eastAsia="Times New Roman" w:cs="Arial"/>
                <w:b/>
                <w:color w:val="000000"/>
                <w:sz w:val="20"/>
                <w:szCs w:val="20"/>
                <w:lang w:eastAsia="en-GB"/>
              </w:rPr>
              <w:t>GOOD</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5C1347" w:rsidP="001A64C4">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Default="005C1347" w:rsidP="001A64C4">
            <w:pPr>
              <w:spacing w:after="0"/>
              <w:jc w:val="center"/>
              <w:rPr>
                <w:rFonts w:cs="Arial"/>
                <w:color w:val="000000"/>
                <w:sz w:val="20"/>
                <w:szCs w:val="20"/>
              </w:rPr>
            </w:pPr>
            <w:r>
              <w:rPr>
                <w:rFonts w:cs="Arial"/>
                <w:color w:val="000000"/>
                <w:sz w:val="20"/>
                <w:szCs w:val="20"/>
              </w:rPr>
              <w:t>68</w:t>
            </w:r>
          </w:p>
        </w:tc>
      </w:tr>
      <w:tr w:rsidR="001A64C4" w:rsidRPr="00342F00" w:rsidTr="00012F10">
        <w:trPr>
          <w:trHeight w:val="312"/>
        </w:trPr>
        <w:tc>
          <w:tcPr>
            <w:tcW w:w="25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64C4" w:rsidRPr="00012F10" w:rsidRDefault="001A64C4" w:rsidP="001A64C4">
            <w:pPr>
              <w:spacing w:after="0" w:line="240" w:lineRule="auto"/>
              <w:rPr>
                <w:rFonts w:eastAsia="Times New Roman" w:cs="Arial"/>
                <w:b/>
                <w:color w:val="000000"/>
                <w:sz w:val="20"/>
                <w:szCs w:val="20"/>
                <w:lang w:eastAsia="en-GB"/>
              </w:rPr>
            </w:pPr>
            <w:r w:rsidRPr="00012F10">
              <w:rPr>
                <w:rFonts w:eastAsia="Times New Roman" w:cs="Arial"/>
                <w:b/>
                <w:color w:val="000000"/>
                <w:sz w:val="20"/>
                <w:szCs w:val="20"/>
                <w:lang w:eastAsia="en-GB"/>
              </w:rPr>
              <w:t>Total</w:t>
            </w:r>
          </w:p>
        </w:tc>
        <w:tc>
          <w:tcPr>
            <w:tcW w:w="10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64C4" w:rsidRDefault="00193F61" w:rsidP="00C13B0A">
            <w:pPr>
              <w:spacing w:after="0"/>
              <w:jc w:val="center"/>
              <w:rPr>
                <w:rFonts w:cs="Arial"/>
                <w:color w:val="000000"/>
                <w:sz w:val="20"/>
                <w:szCs w:val="20"/>
              </w:rPr>
            </w:pPr>
            <w:r>
              <w:rPr>
                <w:rFonts w:cs="Arial"/>
                <w:color w:val="000000"/>
                <w:sz w:val="20"/>
                <w:szCs w:val="20"/>
              </w:rPr>
              <w:t>9,81</w:t>
            </w:r>
            <w:r w:rsidR="00C13B0A">
              <w:rPr>
                <w:rFonts w:cs="Arial"/>
                <w:color w:val="000000"/>
                <w:sz w:val="20"/>
                <w:szCs w:val="20"/>
              </w:rPr>
              <w:t>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64C4" w:rsidRPr="00012F10" w:rsidRDefault="001A64C4" w:rsidP="001A64C4">
            <w:pPr>
              <w:spacing w:after="0" w:line="240" w:lineRule="auto"/>
              <w:jc w:val="center"/>
              <w:rPr>
                <w:rFonts w:eastAsia="Times New Roman" w:cs="Arial"/>
                <w:b/>
                <w:color w:val="000000"/>
                <w:sz w:val="20"/>
                <w:szCs w:val="20"/>
                <w:lang w:eastAsia="en-GB"/>
              </w:rPr>
            </w:pPr>
            <w:r w:rsidRPr="00012F10">
              <w:rPr>
                <w:rFonts w:eastAsia="Times New Roman" w:cs="Arial"/>
                <w:b/>
                <w:color w:val="000000"/>
                <w:sz w:val="20"/>
                <w:szCs w:val="20"/>
                <w:lang w:eastAsia="en-GB"/>
              </w:rPr>
              <w:t> </w:t>
            </w:r>
          </w:p>
        </w:tc>
        <w:tc>
          <w:tcPr>
            <w:tcW w:w="7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64C4" w:rsidRPr="00012F10" w:rsidRDefault="001A64C4" w:rsidP="001A64C4">
            <w:pPr>
              <w:spacing w:after="0" w:line="240" w:lineRule="auto"/>
              <w:jc w:val="center"/>
              <w:rPr>
                <w:rFonts w:eastAsia="Times New Roman" w:cs="Arial"/>
                <w:b/>
                <w:color w:val="000000"/>
                <w:sz w:val="20"/>
                <w:szCs w:val="20"/>
                <w:lang w:eastAsia="en-GB"/>
              </w:rPr>
            </w:pPr>
            <w:r w:rsidRPr="00012F10">
              <w:rPr>
                <w:rFonts w:eastAsia="Times New Roman" w:cs="Arial"/>
                <w:b/>
                <w:color w:val="000000"/>
                <w:sz w:val="20"/>
                <w:szCs w:val="20"/>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64C4" w:rsidRDefault="001A64C4" w:rsidP="005C1347">
            <w:pPr>
              <w:spacing w:after="0"/>
              <w:jc w:val="center"/>
              <w:rPr>
                <w:rFonts w:cs="Arial"/>
                <w:b/>
                <w:bCs/>
                <w:color w:val="000000"/>
                <w:sz w:val="20"/>
                <w:szCs w:val="20"/>
              </w:rPr>
            </w:pPr>
            <w:r>
              <w:rPr>
                <w:rFonts w:cs="Arial"/>
                <w:b/>
                <w:bCs/>
                <w:color w:val="000000"/>
                <w:sz w:val="20"/>
                <w:szCs w:val="20"/>
              </w:rPr>
              <w:t>20</w:t>
            </w:r>
            <w:r w:rsidR="005C1347">
              <w:rPr>
                <w:rFonts w:cs="Arial"/>
                <w:b/>
                <w:bCs/>
                <w:color w:val="000000"/>
                <w:sz w:val="20"/>
                <w:szCs w:val="20"/>
              </w:rPr>
              <w:t>,310</w:t>
            </w:r>
          </w:p>
        </w:tc>
      </w:tr>
      <w:tr w:rsidR="001A64C4" w:rsidRPr="00342F00" w:rsidTr="00757AEC">
        <w:trPr>
          <w:trHeight w:val="324"/>
        </w:trPr>
        <w:tc>
          <w:tcPr>
            <w:tcW w:w="40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right"/>
              <w:rPr>
                <w:rFonts w:eastAsia="Times New Roman" w:cs="Arial"/>
                <w:b/>
                <w:color w:val="000000"/>
                <w:sz w:val="20"/>
                <w:szCs w:val="20"/>
                <w:lang w:eastAsia="en-GB"/>
              </w:rPr>
            </w:pPr>
            <w:r w:rsidRPr="00757AEC">
              <w:rPr>
                <w:rFonts w:eastAsia="Times New Roman" w:cs="Arial"/>
                <w:b/>
                <w:color w:val="000000" w:themeColor="text1"/>
                <w:sz w:val="20"/>
                <w:szCs w:val="20"/>
                <w:lang w:eastAsia="en-GB"/>
              </w:rPr>
              <w:t xml:space="preserve">Weighted Average Score </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4C4" w:rsidRPr="00757AEC" w:rsidRDefault="001A64C4" w:rsidP="001A64C4">
            <w:pPr>
              <w:spacing w:after="0" w:line="240" w:lineRule="auto"/>
              <w:jc w:val="center"/>
              <w:rPr>
                <w:rFonts w:eastAsia="Times New Roman" w:cs="Arial"/>
                <w:color w:val="000000"/>
                <w:sz w:val="20"/>
                <w:szCs w:val="20"/>
                <w:lang w:eastAsia="en-GB"/>
              </w:rPr>
            </w:pPr>
            <w:r w:rsidRPr="00757AEC">
              <w:rPr>
                <w:rFonts w:eastAsia="Times New Roman" w:cs="Arial"/>
                <w:color w:val="00000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64C4" w:rsidRPr="00757AEC" w:rsidRDefault="001A64C4" w:rsidP="00C13B0A">
            <w:pPr>
              <w:spacing w:after="0" w:line="240" w:lineRule="auto"/>
              <w:jc w:val="center"/>
              <w:rPr>
                <w:rFonts w:eastAsia="Times New Roman" w:cs="Arial"/>
                <w:b/>
                <w:color w:val="000000"/>
                <w:sz w:val="20"/>
                <w:szCs w:val="20"/>
                <w:lang w:eastAsia="en-GB"/>
              </w:rPr>
            </w:pPr>
            <w:r>
              <w:rPr>
                <w:rFonts w:eastAsia="Times New Roman" w:cs="Arial"/>
                <w:b/>
                <w:color w:val="000000"/>
                <w:sz w:val="20"/>
                <w:szCs w:val="20"/>
                <w:lang w:eastAsia="en-GB"/>
              </w:rPr>
              <w:t>2.0</w:t>
            </w:r>
            <w:r w:rsidR="00C13B0A">
              <w:rPr>
                <w:rFonts w:eastAsia="Times New Roman" w:cs="Arial"/>
                <w:b/>
                <w:color w:val="000000"/>
                <w:sz w:val="20"/>
                <w:szCs w:val="20"/>
                <w:lang w:eastAsia="en-GB"/>
              </w:rPr>
              <w:t>7</w:t>
            </w:r>
          </w:p>
        </w:tc>
      </w:tr>
    </w:tbl>
    <w:p w:rsidR="00342F00" w:rsidRDefault="00342F00" w:rsidP="00692320">
      <w:pPr>
        <w:spacing w:after="0" w:line="240" w:lineRule="auto"/>
        <w:jc w:val="both"/>
        <w:rPr>
          <w:color w:val="000000" w:themeColor="text1"/>
        </w:rPr>
      </w:pPr>
    </w:p>
    <w:p w:rsidR="00692320" w:rsidRDefault="00692320" w:rsidP="00692320">
      <w:pPr>
        <w:spacing w:after="0"/>
        <w:jc w:val="both"/>
        <w:rPr>
          <w:color w:val="000000" w:themeColor="text1"/>
        </w:rPr>
      </w:pPr>
      <w:r>
        <w:rPr>
          <w:color w:val="000000" w:themeColor="text1"/>
        </w:rPr>
        <w:t>Overall grade boundaries have been determined as follows:-</w:t>
      </w:r>
    </w:p>
    <w:p w:rsidR="00692320" w:rsidRDefault="00692320" w:rsidP="00692320">
      <w:pPr>
        <w:spacing w:after="0"/>
        <w:jc w:val="both"/>
        <w:rPr>
          <w:color w:val="000000" w:themeColor="text1"/>
        </w:rPr>
      </w:pPr>
    </w:p>
    <w:tbl>
      <w:tblPr>
        <w:tblStyle w:val="TableGrid"/>
        <w:tblW w:w="0" w:type="auto"/>
        <w:tblInd w:w="108" w:type="dxa"/>
        <w:tblLook w:val="04A0" w:firstRow="1" w:lastRow="0" w:firstColumn="1" w:lastColumn="0" w:noHBand="0" w:noVBand="1"/>
      </w:tblPr>
      <w:tblGrid>
        <w:gridCol w:w="1168"/>
        <w:gridCol w:w="1660"/>
        <w:gridCol w:w="1226"/>
        <w:gridCol w:w="1271"/>
        <w:gridCol w:w="1488"/>
      </w:tblGrid>
      <w:tr w:rsidR="00692320" w:rsidRPr="00757AEC" w:rsidTr="007474BF">
        <w:trPr>
          <w:trHeight w:val="283"/>
        </w:trPr>
        <w:tc>
          <w:tcPr>
            <w:tcW w:w="7039" w:type="dxa"/>
            <w:gridSpan w:val="5"/>
            <w:shd w:val="clear" w:color="auto" w:fill="FBD4B4" w:themeFill="accent6" w:themeFillTint="66"/>
          </w:tcPr>
          <w:p w:rsidR="00692320" w:rsidRPr="00757AEC" w:rsidRDefault="00692320" w:rsidP="00E742C0">
            <w:pPr>
              <w:jc w:val="center"/>
              <w:rPr>
                <w:b/>
                <w:color w:val="000000" w:themeColor="text1"/>
                <w:sz w:val="20"/>
                <w:szCs w:val="20"/>
              </w:rPr>
            </w:pPr>
            <w:r w:rsidRPr="00757AEC">
              <w:rPr>
                <w:b/>
                <w:color w:val="000000" w:themeColor="text1"/>
                <w:sz w:val="20"/>
                <w:szCs w:val="20"/>
              </w:rPr>
              <w:t>Overall Service Standard – Grade Boundaries</w:t>
            </w:r>
          </w:p>
        </w:tc>
      </w:tr>
      <w:tr w:rsidR="00692320" w:rsidRPr="00757AEC" w:rsidTr="00CD2EE1">
        <w:trPr>
          <w:trHeight w:val="283"/>
        </w:trPr>
        <w:tc>
          <w:tcPr>
            <w:tcW w:w="1224" w:type="dxa"/>
            <w:shd w:val="clear" w:color="auto" w:fill="FF0000"/>
            <w:vAlign w:val="center"/>
          </w:tcPr>
          <w:p w:rsidR="00692320" w:rsidRPr="00757AEC" w:rsidRDefault="00692320" w:rsidP="00E742C0">
            <w:pPr>
              <w:jc w:val="center"/>
              <w:rPr>
                <w:b/>
                <w:color w:val="FFFFFF" w:themeColor="background1"/>
                <w:sz w:val="20"/>
                <w:szCs w:val="20"/>
              </w:rPr>
            </w:pPr>
            <w:r w:rsidRPr="00757AEC">
              <w:rPr>
                <w:b/>
                <w:color w:val="FFFFFF" w:themeColor="background1"/>
                <w:sz w:val="20"/>
                <w:szCs w:val="20"/>
              </w:rPr>
              <w:t>POOR</w:t>
            </w:r>
          </w:p>
        </w:tc>
        <w:tc>
          <w:tcPr>
            <w:tcW w:w="1671" w:type="dxa"/>
            <w:shd w:val="clear" w:color="auto" w:fill="FFC000"/>
            <w:vAlign w:val="center"/>
          </w:tcPr>
          <w:p w:rsidR="00692320" w:rsidRPr="00757AEC" w:rsidRDefault="00692320" w:rsidP="00E742C0">
            <w:pPr>
              <w:jc w:val="center"/>
              <w:rPr>
                <w:b/>
                <w:sz w:val="20"/>
                <w:szCs w:val="20"/>
              </w:rPr>
            </w:pPr>
            <w:r w:rsidRPr="00757AEC">
              <w:rPr>
                <w:b/>
                <w:sz w:val="20"/>
                <w:szCs w:val="20"/>
              </w:rPr>
              <w:t>ACCEPTABLE</w:t>
            </w:r>
          </w:p>
        </w:tc>
        <w:tc>
          <w:tcPr>
            <w:tcW w:w="1307" w:type="dxa"/>
            <w:shd w:val="clear" w:color="auto" w:fill="FFFF00"/>
            <w:vAlign w:val="center"/>
          </w:tcPr>
          <w:p w:rsidR="00692320" w:rsidRPr="00757AEC" w:rsidRDefault="00692320" w:rsidP="00E742C0">
            <w:pPr>
              <w:jc w:val="center"/>
              <w:rPr>
                <w:b/>
                <w:color w:val="000000" w:themeColor="text1"/>
                <w:sz w:val="20"/>
                <w:szCs w:val="20"/>
              </w:rPr>
            </w:pPr>
            <w:r w:rsidRPr="00757AEC">
              <w:rPr>
                <w:b/>
                <w:color w:val="000000" w:themeColor="text1"/>
                <w:sz w:val="20"/>
                <w:szCs w:val="20"/>
              </w:rPr>
              <w:t>FAIR</w:t>
            </w:r>
          </w:p>
        </w:tc>
        <w:tc>
          <w:tcPr>
            <w:tcW w:w="1337" w:type="dxa"/>
            <w:shd w:val="clear" w:color="auto" w:fill="D6E3BC" w:themeFill="accent3" w:themeFillTint="66"/>
            <w:vAlign w:val="center"/>
          </w:tcPr>
          <w:p w:rsidR="00692320" w:rsidRPr="00757AEC" w:rsidRDefault="00692320" w:rsidP="00E742C0">
            <w:pPr>
              <w:jc w:val="center"/>
              <w:rPr>
                <w:b/>
                <w:color w:val="000000" w:themeColor="text1"/>
                <w:sz w:val="20"/>
                <w:szCs w:val="20"/>
              </w:rPr>
            </w:pPr>
            <w:r w:rsidRPr="00757AEC">
              <w:rPr>
                <w:b/>
                <w:color w:val="000000" w:themeColor="text1"/>
                <w:sz w:val="20"/>
                <w:szCs w:val="20"/>
              </w:rPr>
              <w:t>GOOD</w:t>
            </w:r>
          </w:p>
        </w:tc>
        <w:tc>
          <w:tcPr>
            <w:tcW w:w="1500" w:type="dxa"/>
            <w:shd w:val="clear" w:color="auto" w:fill="92D050"/>
            <w:vAlign w:val="center"/>
          </w:tcPr>
          <w:p w:rsidR="00692320" w:rsidRPr="00757AEC" w:rsidRDefault="00692320" w:rsidP="00E742C0">
            <w:pPr>
              <w:jc w:val="center"/>
              <w:rPr>
                <w:b/>
                <w:color w:val="FFFFFF" w:themeColor="background1"/>
                <w:sz w:val="20"/>
                <w:szCs w:val="20"/>
              </w:rPr>
            </w:pPr>
            <w:r w:rsidRPr="00757AEC">
              <w:rPr>
                <w:b/>
                <w:color w:val="FFFFFF" w:themeColor="background1"/>
                <w:sz w:val="20"/>
                <w:szCs w:val="20"/>
              </w:rPr>
              <w:t>EXCELLENT</w:t>
            </w:r>
          </w:p>
        </w:tc>
      </w:tr>
      <w:tr w:rsidR="00692320" w:rsidRPr="00757AEC" w:rsidTr="00E742C0">
        <w:trPr>
          <w:trHeight w:val="283"/>
        </w:trPr>
        <w:tc>
          <w:tcPr>
            <w:tcW w:w="1224" w:type="dxa"/>
          </w:tcPr>
          <w:p w:rsidR="00692320" w:rsidRPr="00757AEC" w:rsidRDefault="00692320" w:rsidP="00E742C0">
            <w:pPr>
              <w:jc w:val="center"/>
              <w:rPr>
                <w:b/>
                <w:color w:val="000000" w:themeColor="text1"/>
                <w:sz w:val="20"/>
                <w:szCs w:val="20"/>
              </w:rPr>
            </w:pPr>
            <w:r w:rsidRPr="00757AEC">
              <w:rPr>
                <w:b/>
                <w:color w:val="000000" w:themeColor="text1"/>
                <w:sz w:val="20"/>
                <w:szCs w:val="20"/>
              </w:rPr>
              <w:t>1 to 1.9</w:t>
            </w:r>
          </w:p>
        </w:tc>
        <w:tc>
          <w:tcPr>
            <w:tcW w:w="1671" w:type="dxa"/>
          </w:tcPr>
          <w:p w:rsidR="00692320" w:rsidRPr="00757AEC" w:rsidRDefault="00692320" w:rsidP="00E742C0">
            <w:pPr>
              <w:jc w:val="center"/>
              <w:rPr>
                <w:b/>
                <w:color w:val="000000" w:themeColor="text1"/>
                <w:sz w:val="20"/>
                <w:szCs w:val="20"/>
              </w:rPr>
            </w:pPr>
            <w:r w:rsidRPr="00757AEC">
              <w:rPr>
                <w:b/>
                <w:color w:val="000000" w:themeColor="text1"/>
                <w:sz w:val="20"/>
                <w:szCs w:val="20"/>
              </w:rPr>
              <w:t>2 to 2.9</w:t>
            </w:r>
          </w:p>
        </w:tc>
        <w:tc>
          <w:tcPr>
            <w:tcW w:w="1307" w:type="dxa"/>
          </w:tcPr>
          <w:p w:rsidR="00692320" w:rsidRPr="00757AEC" w:rsidRDefault="00692320" w:rsidP="00E742C0">
            <w:pPr>
              <w:jc w:val="center"/>
              <w:rPr>
                <w:b/>
                <w:color w:val="000000" w:themeColor="text1"/>
                <w:sz w:val="20"/>
                <w:szCs w:val="20"/>
              </w:rPr>
            </w:pPr>
            <w:r w:rsidRPr="00757AEC">
              <w:rPr>
                <w:b/>
                <w:color w:val="000000" w:themeColor="text1"/>
                <w:sz w:val="20"/>
                <w:szCs w:val="20"/>
              </w:rPr>
              <w:t>3 to 3.9</w:t>
            </w:r>
          </w:p>
        </w:tc>
        <w:tc>
          <w:tcPr>
            <w:tcW w:w="1337" w:type="dxa"/>
          </w:tcPr>
          <w:p w:rsidR="00692320" w:rsidRPr="00757AEC" w:rsidRDefault="00692320" w:rsidP="00E742C0">
            <w:pPr>
              <w:jc w:val="center"/>
              <w:rPr>
                <w:b/>
                <w:color w:val="000000" w:themeColor="text1"/>
                <w:sz w:val="20"/>
                <w:szCs w:val="20"/>
              </w:rPr>
            </w:pPr>
            <w:r w:rsidRPr="00757AEC">
              <w:rPr>
                <w:b/>
                <w:color w:val="000000" w:themeColor="text1"/>
                <w:sz w:val="20"/>
                <w:szCs w:val="20"/>
              </w:rPr>
              <w:t>4 to 4.9</w:t>
            </w:r>
          </w:p>
        </w:tc>
        <w:tc>
          <w:tcPr>
            <w:tcW w:w="1500" w:type="dxa"/>
          </w:tcPr>
          <w:p w:rsidR="00692320" w:rsidRPr="00757AEC" w:rsidRDefault="00692320" w:rsidP="00E742C0">
            <w:pPr>
              <w:jc w:val="center"/>
              <w:rPr>
                <w:b/>
                <w:color w:val="000000" w:themeColor="text1"/>
                <w:sz w:val="20"/>
                <w:szCs w:val="20"/>
              </w:rPr>
            </w:pPr>
            <w:r w:rsidRPr="00757AEC">
              <w:rPr>
                <w:b/>
                <w:color w:val="000000" w:themeColor="text1"/>
                <w:sz w:val="20"/>
                <w:szCs w:val="20"/>
              </w:rPr>
              <w:t>5</w:t>
            </w:r>
          </w:p>
        </w:tc>
      </w:tr>
    </w:tbl>
    <w:p w:rsidR="00692320" w:rsidRDefault="00692320" w:rsidP="00692320">
      <w:pPr>
        <w:spacing w:after="0"/>
        <w:jc w:val="both"/>
        <w:rPr>
          <w:color w:val="000000" w:themeColor="text1"/>
          <w:sz w:val="20"/>
          <w:szCs w:val="20"/>
        </w:rPr>
      </w:pPr>
    </w:p>
    <w:p w:rsidR="008A0D11" w:rsidRPr="00757AEC" w:rsidRDefault="008A0D11" w:rsidP="00692320">
      <w:pPr>
        <w:spacing w:after="0"/>
        <w:jc w:val="both"/>
        <w:rPr>
          <w:color w:val="000000" w:themeColor="text1"/>
          <w:sz w:val="20"/>
          <w:szCs w:val="20"/>
        </w:rPr>
      </w:pPr>
    </w:p>
    <w:p w:rsidR="00E63533" w:rsidRDefault="00E63533" w:rsidP="00931524">
      <w:pPr>
        <w:jc w:val="both"/>
        <w:rPr>
          <w:color w:val="000000" w:themeColor="text1"/>
        </w:rPr>
      </w:pPr>
    </w:p>
    <w:p w:rsidR="00D6703E" w:rsidRDefault="00D6703E" w:rsidP="00D6703E">
      <w:pPr>
        <w:jc w:val="both"/>
        <w:rPr>
          <w:color w:val="000000" w:themeColor="text1"/>
        </w:rPr>
      </w:pPr>
      <w:r>
        <w:rPr>
          <w:color w:val="000000" w:themeColor="text1"/>
        </w:rPr>
        <w:t xml:space="preserve">The initial TAMP assessed the service standard to be 2.26 which determined the </w:t>
      </w:r>
      <w:r w:rsidRPr="00DE5457">
        <w:rPr>
          <w:color w:val="000000" w:themeColor="text1"/>
        </w:rPr>
        <w:t>transport asset to be in an</w:t>
      </w:r>
      <w:r>
        <w:rPr>
          <w:color w:val="000000" w:themeColor="text1"/>
        </w:rPr>
        <w:t xml:space="preserve"> ACCEPTABLE condition.  This improved to 2.56 in 2015, but fell in 2016 to 2.22.  As a result of a fall in the</w:t>
      </w:r>
      <w:r w:rsidR="00DA7BDD">
        <w:rPr>
          <w:color w:val="000000" w:themeColor="text1"/>
        </w:rPr>
        <w:t xml:space="preserve"> condition of </w:t>
      </w:r>
      <w:r>
        <w:rPr>
          <w:color w:val="000000" w:themeColor="text1"/>
        </w:rPr>
        <w:t xml:space="preserve">'C' road network </w:t>
      </w:r>
      <w:r w:rsidR="00DA7BDD">
        <w:rPr>
          <w:color w:val="000000" w:themeColor="text1"/>
        </w:rPr>
        <w:t>the service standard fell in 2016 from FAIR to ACCEPTABLE, resulting in the overall service standard falling to 2.02</w:t>
      </w:r>
      <w:r>
        <w:rPr>
          <w:color w:val="000000" w:themeColor="text1"/>
        </w:rPr>
        <w:t xml:space="preserve">  Whilst our overall score may have fallen, our overall service standard is still regarded as being ACCEPTABLE.</w:t>
      </w:r>
    </w:p>
    <w:p w:rsidR="008A0D11" w:rsidRDefault="008A0D11" w:rsidP="008A0D11">
      <w:pPr>
        <w:spacing w:after="0"/>
        <w:jc w:val="both"/>
        <w:rPr>
          <w:color w:val="000000" w:themeColor="text1"/>
        </w:rPr>
      </w:pPr>
      <w:r>
        <w:rPr>
          <w:color w:val="000000" w:themeColor="text1"/>
        </w:rPr>
        <w:t xml:space="preserve">According to the general service standards in Appendix </w:t>
      </w:r>
      <w:r w:rsidR="00193356">
        <w:rPr>
          <w:color w:val="000000" w:themeColor="text1"/>
        </w:rPr>
        <w:t>1</w:t>
      </w:r>
      <w:r>
        <w:rPr>
          <w:color w:val="000000" w:themeColor="text1"/>
        </w:rPr>
        <w:t>, our highway and transport asset network should be regarded as being generally f</w:t>
      </w:r>
      <w:r w:rsidRPr="00DE5457">
        <w:rPr>
          <w:color w:val="000000" w:themeColor="text1"/>
        </w:rPr>
        <w:t xml:space="preserve">ree from critical safety defects, </w:t>
      </w:r>
      <w:r>
        <w:rPr>
          <w:color w:val="000000" w:themeColor="text1"/>
        </w:rPr>
        <w:t xml:space="preserve">although </w:t>
      </w:r>
      <w:r w:rsidRPr="00DE5457">
        <w:rPr>
          <w:color w:val="000000" w:themeColor="text1"/>
        </w:rPr>
        <w:t xml:space="preserve">considerable maintenance backlogs </w:t>
      </w:r>
      <w:r>
        <w:rPr>
          <w:color w:val="000000" w:themeColor="text1"/>
        </w:rPr>
        <w:t xml:space="preserve">do exist which have accumulated, in general, </w:t>
      </w:r>
      <w:r w:rsidRPr="0080204A">
        <w:rPr>
          <w:color w:val="000000" w:themeColor="text1"/>
        </w:rPr>
        <w:t>due</w:t>
      </w:r>
      <w:r>
        <w:rPr>
          <w:color w:val="000000" w:themeColor="text1"/>
        </w:rPr>
        <w:t xml:space="preserve"> to insufficient resources being made available over a period of time to maintain the whole asset base.</w:t>
      </w:r>
    </w:p>
    <w:p w:rsidR="008A0D11" w:rsidRDefault="008A0D11" w:rsidP="009A0A44">
      <w:pPr>
        <w:spacing w:after="0"/>
        <w:rPr>
          <w:b/>
        </w:rPr>
      </w:pPr>
    </w:p>
    <w:p w:rsidR="007E1BD2" w:rsidRPr="003C446A" w:rsidRDefault="004C1EA8" w:rsidP="00FB71D7">
      <w:pPr>
        <w:spacing w:after="0"/>
        <w:rPr>
          <w:b/>
        </w:rPr>
      </w:pPr>
      <w:r w:rsidRPr="003C446A">
        <w:rPr>
          <w:b/>
        </w:rPr>
        <w:t>7</w:t>
      </w:r>
      <w:r w:rsidR="007E1BD2" w:rsidRPr="003C446A">
        <w:rPr>
          <w:b/>
        </w:rPr>
        <w:t>) Conclusion</w:t>
      </w:r>
    </w:p>
    <w:p w:rsidR="003C6EB4" w:rsidRPr="003C446A" w:rsidRDefault="00CE1231" w:rsidP="00FB71D7">
      <w:pPr>
        <w:jc w:val="both"/>
      </w:pPr>
      <w:r w:rsidRPr="003C446A">
        <w:t>Whilst the overall condition score</w:t>
      </w:r>
      <w:r w:rsidR="00EB180D" w:rsidRPr="003C446A">
        <w:t xml:space="preserve"> of our transport assets</w:t>
      </w:r>
      <w:r w:rsidRPr="003C446A">
        <w:t xml:space="preserve"> may have fallen from last year, the condition of the A</w:t>
      </w:r>
      <w:r w:rsidR="003C446A" w:rsidRPr="003C446A">
        <w:t xml:space="preserve"> and </w:t>
      </w:r>
      <w:r w:rsidRPr="003C446A">
        <w:t xml:space="preserve">B road network and the footway network have continued </w:t>
      </w:r>
      <w:r w:rsidR="00EB180D" w:rsidRPr="003C446A">
        <w:t xml:space="preserve">to improve </w:t>
      </w:r>
      <w:r w:rsidR="003C446A" w:rsidRPr="003C446A">
        <w:t xml:space="preserve">over the past 12 months.  </w:t>
      </w:r>
      <w:r w:rsidR="00086444" w:rsidRPr="003C446A">
        <w:t xml:space="preserve">From the above it can be seen that a change in approach from 'worst first' to </w:t>
      </w:r>
      <w:r w:rsidR="00EE1CAD" w:rsidRPr="003C446A">
        <w:t xml:space="preserve">a </w:t>
      </w:r>
      <w:r w:rsidR="00086444" w:rsidRPr="003C446A">
        <w:t xml:space="preserve">preventative maintenance </w:t>
      </w:r>
      <w:r w:rsidR="008A0D11" w:rsidRPr="003C446A">
        <w:t xml:space="preserve">regime </w:t>
      </w:r>
      <w:r w:rsidR="00086444" w:rsidRPr="003C446A">
        <w:t xml:space="preserve">has </w:t>
      </w:r>
      <w:r w:rsidR="003C6EB4" w:rsidRPr="003C446A">
        <w:t xml:space="preserve">already </w:t>
      </w:r>
      <w:r w:rsidR="00086444" w:rsidRPr="003C446A">
        <w:t xml:space="preserve">had a big impact </w:t>
      </w:r>
      <w:r w:rsidR="00C90008" w:rsidRPr="003C446A">
        <w:t xml:space="preserve">particularly </w:t>
      </w:r>
      <w:r w:rsidR="00086444" w:rsidRPr="003C446A">
        <w:t xml:space="preserve">on the </w:t>
      </w:r>
      <w:r w:rsidR="00055EFF" w:rsidRPr="003C446A">
        <w:t xml:space="preserve">A, </w:t>
      </w:r>
      <w:r w:rsidR="003C6EB4" w:rsidRPr="003C446A">
        <w:t>B</w:t>
      </w:r>
      <w:r w:rsidR="00086444" w:rsidRPr="003C446A">
        <w:t xml:space="preserve"> and C road network which has seen the </w:t>
      </w:r>
      <w:r w:rsidR="003C6EB4" w:rsidRPr="003C446A">
        <w:t xml:space="preserve">condition of many roads </w:t>
      </w:r>
      <w:r w:rsidR="00E44F14" w:rsidRPr="003C446A">
        <w:t xml:space="preserve">in </w:t>
      </w:r>
      <w:r w:rsidR="00EE1CAD" w:rsidRPr="003C446A">
        <w:t>a number of d</w:t>
      </w:r>
      <w:r w:rsidR="00E44F14" w:rsidRPr="003C446A">
        <w:t xml:space="preserve">istrict areas </w:t>
      </w:r>
      <w:r w:rsidR="003C6EB4" w:rsidRPr="003C446A">
        <w:t>improve to at least those enjoyed in 20</w:t>
      </w:r>
      <w:r w:rsidR="00055EFF" w:rsidRPr="003C446A">
        <w:t>09</w:t>
      </w:r>
      <w:r w:rsidR="003C6EB4" w:rsidRPr="003C446A">
        <w:t>, as measured by the % or RED or AMBER roads across th</w:t>
      </w:r>
      <w:r w:rsidR="00E44F14" w:rsidRPr="003C446A">
        <w:t>is n</w:t>
      </w:r>
      <w:r w:rsidR="003C6EB4" w:rsidRPr="003C446A">
        <w:t>etwork.</w:t>
      </w:r>
    </w:p>
    <w:p w:rsidR="008A0D11" w:rsidRPr="003C446A" w:rsidRDefault="008A0D11" w:rsidP="00FB71D7">
      <w:pPr>
        <w:jc w:val="both"/>
      </w:pPr>
      <w:r w:rsidRPr="003C446A">
        <w:t xml:space="preserve">This approach has also seen a reduction in the number of </w:t>
      </w:r>
      <w:r w:rsidR="00CC5128">
        <w:t xml:space="preserve">footway </w:t>
      </w:r>
      <w:r w:rsidRPr="003C446A">
        <w:t>defects across the network</w:t>
      </w:r>
      <w:r w:rsidR="00CC5128">
        <w:t>.</w:t>
      </w:r>
    </w:p>
    <w:p w:rsidR="003C6EB4" w:rsidRPr="003C446A" w:rsidRDefault="003C6EB4" w:rsidP="00FB71D7">
      <w:pPr>
        <w:jc w:val="both"/>
      </w:pPr>
      <w:r w:rsidRPr="003C446A">
        <w:t xml:space="preserve">A change in approach from </w:t>
      </w:r>
      <w:r w:rsidR="00E44F14" w:rsidRPr="003C446A">
        <w:t xml:space="preserve">allocating </w:t>
      </w:r>
      <w:r w:rsidRPr="003C446A">
        <w:t>fund</w:t>
      </w:r>
      <w:r w:rsidR="00E44F14" w:rsidRPr="003C446A">
        <w:t>s</w:t>
      </w:r>
      <w:r w:rsidRPr="003C446A">
        <w:t xml:space="preserve"> on a district basis</w:t>
      </w:r>
      <w:r w:rsidR="00E44F14" w:rsidRPr="003C446A">
        <w:t xml:space="preserve"> purely </w:t>
      </w:r>
      <w:r w:rsidRPr="003C446A">
        <w:t xml:space="preserve">according to asset numbers/lengths </w:t>
      </w:r>
      <w:r w:rsidR="00E44F14" w:rsidRPr="003C446A">
        <w:t xml:space="preserve">in favour of </w:t>
      </w:r>
      <w:r w:rsidRPr="003C446A">
        <w:t>a countywide approach where funding is based on 'need'</w:t>
      </w:r>
      <w:r w:rsidR="00E44F14" w:rsidRPr="003C446A">
        <w:t>,</w:t>
      </w:r>
      <w:r w:rsidRPr="003C446A">
        <w:t xml:space="preserve"> as determined by the relevant condition data</w:t>
      </w:r>
      <w:r w:rsidR="00E44F14" w:rsidRPr="003C446A">
        <w:t>,</w:t>
      </w:r>
      <w:r w:rsidRPr="003C446A">
        <w:t xml:space="preserve"> is starting to have the desired effect of 'normalising' the condition of each asset grouping across Lancashire.  This approach needs to be continued so that all our residents </w:t>
      </w:r>
      <w:r w:rsidR="00E44F14" w:rsidRPr="003C446A">
        <w:t>and service users</w:t>
      </w:r>
      <w:r w:rsidRPr="003C446A">
        <w:t xml:space="preserve"> are able to benefit from the same service standard </w:t>
      </w:r>
      <w:r w:rsidR="00E44F14" w:rsidRPr="003C446A">
        <w:t>regardless of district area.</w:t>
      </w:r>
    </w:p>
    <w:p w:rsidR="00E44F14" w:rsidRPr="00C20469" w:rsidRDefault="003C6EB4" w:rsidP="00FB71D7">
      <w:pPr>
        <w:jc w:val="both"/>
      </w:pPr>
      <w:r w:rsidRPr="00C20469">
        <w:t xml:space="preserve">Due to </w:t>
      </w:r>
      <w:r w:rsidR="00E44F14" w:rsidRPr="00C20469">
        <w:t xml:space="preserve">continued </w:t>
      </w:r>
      <w:r w:rsidRPr="00C20469">
        <w:t xml:space="preserve">pressures from the DfT the </w:t>
      </w:r>
      <w:r w:rsidR="00E63533" w:rsidRPr="00C20469">
        <w:t>c</w:t>
      </w:r>
      <w:r w:rsidR="00086444" w:rsidRPr="00C20469">
        <w:t xml:space="preserve">ounty </w:t>
      </w:r>
      <w:r w:rsidR="00E63533" w:rsidRPr="00C20469">
        <w:t>c</w:t>
      </w:r>
      <w:r w:rsidR="00086444" w:rsidRPr="00C20469">
        <w:t xml:space="preserve">ouncil </w:t>
      </w:r>
      <w:r w:rsidRPr="00C20469">
        <w:t xml:space="preserve">cannot afford to stand still.  </w:t>
      </w:r>
      <w:r w:rsidR="00C20469" w:rsidRPr="00C20469">
        <w:t>We need</w:t>
      </w:r>
      <w:r w:rsidRPr="00C20469">
        <w:t xml:space="preserve"> to </w:t>
      </w:r>
      <w:r w:rsidR="00086444" w:rsidRPr="00C20469">
        <w:t xml:space="preserve">continue to adapt and </w:t>
      </w:r>
      <w:r w:rsidR="00E44F14" w:rsidRPr="00C20469">
        <w:t xml:space="preserve">evolve if </w:t>
      </w:r>
      <w:r w:rsidR="00C20469" w:rsidRPr="00C20469">
        <w:t>we are</w:t>
      </w:r>
      <w:r w:rsidR="00E44F14" w:rsidRPr="00C20469">
        <w:t xml:space="preserve"> </w:t>
      </w:r>
      <w:r w:rsidR="001D2B8D" w:rsidRPr="00C20469">
        <w:t xml:space="preserve">to </w:t>
      </w:r>
      <w:r w:rsidR="00E44F14" w:rsidRPr="00C20469">
        <w:t xml:space="preserve">secure the same level of funding as </w:t>
      </w:r>
      <w:r w:rsidR="00C20469" w:rsidRPr="00C20469">
        <w:t>we</w:t>
      </w:r>
      <w:r w:rsidR="00E44F14" w:rsidRPr="00C20469">
        <w:t xml:space="preserve"> do now.  Failure to attract sufficient funding will threaten the </w:t>
      </w:r>
      <w:r w:rsidR="00C20469" w:rsidRPr="00C20469">
        <w:t>c</w:t>
      </w:r>
      <w:r w:rsidR="00E44F14" w:rsidRPr="00C20469">
        <w:t xml:space="preserve">ounty </w:t>
      </w:r>
      <w:r w:rsidR="00C20469" w:rsidRPr="00C20469">
        <w:t>c</w:t>
      </w:r>
      <w:r w:rsidR="00E44F14" w:rsidRPr="00C20469">
        <w:t>ouncil's ability to apply the TAMP principles in future years.</w:t>
      </w:r>
    </w:p>
    <w:p w:rsidR="003056D7" w:rsidRDefault="00193356" w:rsidP="00FB71D7">
      <w:pPr>
        <w:spacing w:after="0"/>
        <w:jc w:val="both"/>
        <w:rPr>
          <w:szCs w:val="24"/>
        </w:rPr>
      </w:pPr>
      <w:r w:rsidRPr="00C20469">
        <w:rPr>
          <w:szCs w:val="24"/>
        </w:rPr>
        <w:t>The results of the video survey data ma</w:t>
      </w:r>
      <w:r w:rsidR="009A0A44" w:rsidRPr="00C20469">
        <w:rPr>
          <w:szCs w:val="24"/>
        </w:rPr>
        <w:t xml:space="preserve">y require us to revisit the service standards contained in the main TAMP document as we will for the first time in many years have engineering data for the </w:t>
      </w:r>
      <w:r w:rsidRPr="00C20469">
        <w:rPr>
          <w:szCs w:val="24"/>
        </w:rPr>
        <w:t xml:space="preserve">whole of </w:t>
      </w:r>
      <w:r w:rsidR="009A0A44" w:rsidRPr="00C20469">
        <w:rPr>
          <w:szCs w:val="24"/>
        </w:rPr>
        <w:t>footway and unclassified road networks.</w:t>
      </w:r>
    </w:p>
    <w:p w:rsidR="00DA7BDD" w:rsidRDefault="00DA7BDD" w:rsidP="00FB71D7">
      <w:pPr>
        <w:spacing w:after="0"/>
        <w:jc w:val="both"/>
        <w:rPr>
          <w:szCs w:val="24"/>
        </w:rPr>
      </w:pPr>
    </w:p>
    <w:p w:rsidR="00193356" w:rsidRDefault="00193356" w:rsidP="00FB71D7">
      <w:pPr>
        <w:spacing w:after="0"/>
        <w:jc w:val="both"/>
        <w:rPr>
          <w:szCs w:val="24"/>
        </w:rPr>
      </w:pPr>
    </w:p>
    <w:p w:rsidR="00CC5128" w:rsidRDefault="00CC5128" w:rsidP="00FB71D7">
      <w:pPr>
        <w:spacing w:after="0"/>
        <w:jc w:val="both"/>
        <w:rPr>
          <w:szCs w:val="24"/>
        </w:rPr>
      </w:pPr>
    </w:p>
    <w:p w:rsidR="00CC5128" w:rsidRDefault="00CC5128" w:rsidP="00FB71D7">
      <w:pPr>
        <w:spacing w:after="0"/>
        <w:jc w:val="both"/>
        <w:rPr>
          <w:szCs w:val="24"/>
        </w:rPr>
      </w:pPr>
    </w:p>
    <w:p w:rsidR="008A0D11" w:rsidRDefault="008A0D11" w:rsidP="009A0A44">
      <w:pPr>
        <w:spacing w:after="0"/>
        <w:jc w:val="both"/>
        <w:rPr>
          <w:szCs w:val="24"/>
        </w:rPr>
      </w:pPr>
    </w:p>
    <w:p w:rsidR="00DA7BDD" w:rsidRDefault="00DA7BDD" w:rsidP="009A0A44">
      <w:pPr>
        <w:spacing w:after="0"/>
        <w:jc w:val="both"/>
        <w:rPr>
          <w:szCs w:val="24"/>
        </w:rPr>
      </w:pPr>
    </w:p>
    <w:p w:rsidR="00DA7BDD" w:rsidRDefault="00DA7BDD" w:rsidP="009A0A44">
      <w:pPr>
        <w:spacing w:after="0"/>
        <w:jc w:val="both"/>
        <w:rPr>
          <w:szCs w:val="24"/>
        </w:rPr>
      </w:pPr>
    </w:p>
    <w:p w:rsidR="00DA7BDD" w:rsidRDefault="00DA7BDD" w:rsidP="009A0A44">
      <w:pPr>
        <w:spacing w:after="0"/>
        <w:jc w:val="both"/>
        <w:rPr>
          <w:szCs w:val="24"/>
        </w:rPr>
      </w:pPr>
    </w:p>
    <w:p w:rsidR="00DA7BDD" w:rsidRDefault="00DA7BDD" w:rsidP="009A0A44">
      <w:pPr>
        <w:spacing w:after="0"/>
        <w:jc w:val="both"/>
        <w:rPr>
          <w:szCs w:val="24"/>
        </w:rPr>
        <w:sectPr w:rsidR="00DA7BDD" w:rsidSect="00B57F20">
          <w:type w:val="continuous"/>
          <w:pgSz w:w="16838" w:h="11906" w:orient="landscape"/>
          <w:pgMar w:top="1134" w:right="1134" w:bottom="1134" w:left="1134" w:header="709" w:footer="709" w:gutter="0"/>
          <w:cols w:num="2" w:space="708"/>
          <w:docGrid w:linePitch="360"/>
        </w:sectPr>
      </w:pPr>
    </w:p>
    <w:p w:rsidR="008A0D11" w:rsidRPr="0003215F" w:rsidRDefault="008A0D11" w:rsidP="00193356">
      <w:pPr>
        <w:spacing w:after="0" w:line="240" w:lineRule="auto"/>
        <w:jc w:val="right"/>
        <w:rPr>
          <w:b/>
        </w:rPr>
      </w:pPr>
      <w:r w:rsidRPr="0003215F">
        <w:rPr>
          <w:b/>
        </w:rPr>
        <w:t>Appendix 1</w:t>
      </w:r>
    </w:p>
    <w:p w:rsidR="008A0D11" w:rsidRDefault="008A0D11" w:rsidP="00193356">
      <w:pPr>
        <w:spacing w:after="0" w:line="240" w:lineRule="auto"/>
        <w:jc w:val="both"/>
      </w:pPr>
    </w:p>
    <w:p w:rsidR="008A0D11" w:rsidRPr="0003215F" w:rsidRDefault="008A0D11" w:rsidP="008A0D11">
      <w:pPr>
        <w:spacing w:after="0"/>
        <w:jc w:val="center"/>
        <w:rPr>
          <w:b/>
        </w:rPr>
      </w:pPr>
      <w:r w:rsidRPr="0003215F">
        <w:rPr>
          <w:b/>
        </w:rPr>
        <w:t>Generic Service Standards</w:t>
      </w:r>
    </w:p>
    <w:p w:rsidR="008A0D11" w:rsidRDefault="008A0D11" w:rsidP="00193356">
      <w:pPr>
        <w:spacing w:after="0" w:line="240" w:lineRule="auto"/>
        <w:jc w:val="both"/>
      </w:pPr>
    </w:p>
    <w:tbl>
      <w:tblPr>
        <w:tblStyle w:val="TableGrid"/>
        <w:tblW w:w="0" w:type="auto"/>
        <w:tblInd w:w="108" w:type="dxa"/>
        <w:tblLook w:val="04A0" w:firstRow="1" w:lastRow="0" w:firstColumn="1" w:lastColumn="0" w:noHBand="0" w:noVBand="1"/>
      </w:tblPr>
      <w:tblGrid>
        <w:gridCol w:w="1857"/>
        <w:gridCol w:w="12595"/>
      </w:tblGrid>
      <w:tr w:rsidR="008A0D11" w:rsidRPr="00272CF3" w:rsidTr="009F386F">
        <w:tc>
          <w:tcPr>
            <w:tcW w:w="1701" w:type="dxa"/>
          </w:tcPr>
          <w:p w:rsidR="008A0D11" w:rsidRPr="00272CF3" w:rsidRDefault="008A0D11" w:rsidP="009F386F">
            <w:pPr>
              <w:spacing w:line="276" w:lineRule="auto"/>
              <w:jc w:val="both"/>
              <w:rPr>
                <w:rFonts w:cs="Arial"/>
                <w:b/>
              </w:rPr>
            </w:pPr>
            <w:r w:rsidRPr="00272CF3">
              <w:rPr>
                <w:rFonts w:cs="Arial"/>
                <w:b/>
              </w:rPr>
              <w:t>Service Standard</w:t>
            </w:r>
          </w:p>
        </w:tc>
        <w:tc>
          <w:tcPr>
            <w:tcW w:w="12643" w:type="dxa"/>
          </w:tcPr>
          <w:p w:rsidR="008A0D11" w:rsidRPr="00272CF3" w:rsidRDefault="008A0D11" w:rsidP="009F386F">
            <w:pPr>
              <w:spacing w:before="120" w:line="276" w:lineRule="auto"/>
              <w:jc w:val="center"/>
              <w:rPr>
                <w:rFonts w:cs="Arial"/>
                <w:b/>
              </w:rPr>
            </w:pPr>
            <w:r w:rsidRPr="00272CF3">
              <w:rPr>
                <w:rFonts w:cs="Arial"/>
                <w:b/>
              </w:rPr>
              <w:t>Description</w:t>
            </w:r>
            <w:r>
              <w:rPr>
                <w:rFonts w:cs="Arial"/>
                <w:b/>
              </w:rPr>
              <w:t xml:space="preserve"> of Level of Service</w:t>
            </w:r>
          </w:p>
        </w:tc>
      </w:tr>
      <w:tr w:rsidR="008A0D11" w:rsidRPr="00272CF3" w:rsidTr="009F386F">
        <w:tc>
          <w:tcPr>
            <w:tcW w:w="1701" w:type="dxa"/>
            <w:shd w:val="clear" w:color="auto" w:fill="FF0000"/>
          </w:tcPr>
          <w:p w:rsidR="008A0D11" w:rsidRPr="00272CF3" w:rsidRDefault="008A0D11" w:rsidP="009F386F">
            <w:pPr>
              <w:spacing w:line="276" w:lineRule="auto"/>
              <w:jc w:val="both"/>
              <w:rPr>
                <w:rFonts w:cs="Arial"/>
                <w:color w:val="FFFFFF" w:themeColor="background1"/>
              </w:rPr>
            </w:pPr>
            <w:r>
              <w:rPr>
                <w:rFonts w:cs="Arial"/>
                <w:b/>
                <w:color w:val="FFFFFF" w:themeColor="background1"/>
              </w:rPr>
              <w:t>POO</w:t>
            </w:r>
            <w:r w:rsidRPr="0003215F">
              <w:rPr>
                <w:rFonts w:cs="Arial"/>
                <w:b/>
                <w:color w:val="FFFFFF" w:themeColor="background1"/>
                <w:shd w:val="clear" w:color="auto" w:fill="FF0000"/>
              </w:rPr>
              <w:t>R</w:t>
            </w:r>
          </w:p>
        </w:tc>
        <w:tc>
          <w:tcPr>
            <w:tcW w:w="12643" w:type="dxa"/>
          </w:tcPr>
          <w:p w:rsidR="008A0D11" w:rsidRPr="00272CF3" w:rsidRDefault="008A0D11" w:rsidP="009F386F">
            <w:pPr>
              <w:spacing w:line="276" w:lineRule="auto"/>
              <w:jc w:val="both"/>
              <w:rPr>
                <w:rFonts w:cs="Arial"/>
                <w:b/>
              </w:rPr>
            </w:pPr>
            <w:r w:rsidRPr="00272CF3">
              <w:rPr>
                <w:rFonts w:cs="Arial"/>
                <w:b/>
              </w:rPr>
              <w:t>Definition</w:t>
            </w:r>
          </w:p>
          <w:p w:rsidR="008A0D11" w:rsidRPr="00272CF3" w:rsidRDefault="008A0D11" w:rsidP="009F386F">
            <w:pPr>
              <w:spacing w:line="276" w:lineRule="auto"/>
              <w:jc w:val="both"/>
              <w:rPr>
                <w:rFonts w:cs="Arial"/>
              </w:rPr>
            </w:pPr>
            <w:r w:rsidRPr="00272CF3">
              <w:rPr>
                <w:rFonts w:cs="Arial"/>
              </w:rPr>
              <w:t xml:space="preserve">Service delivery that is </w:t>
            </w:r>
            <w:r>
              <w:rPr>
                <w:rFonts w:cs="Arial"/>
              </w:rPr>
              <w:t xml:space="preserve">considered to fall </w:t>
            </w:r>
            <w:r w:rsidRPr="00272CF3">
              <w:rPr>
                <w:rFonts w:cs="Arial"/>
              </w:rPr>
              <w:t xml:space="preserve">below </w:t>
            </w:r>
            <w:r>
              <w:rPr>
                <w:rFonts w:cs="Arial"/>
              </w:rPr>
              <w:t xml:space="preserve">the </w:t>
            </w:r>
            <w:r w:rsidRPr="00272CF3">
              <w:rPr>
                <w:rFonts w:cs="Arial"/>
              </w:rPr>
              <w:t>minimum standard</w:t>
            </w:r>
            <w:r>
              <w:rPr>
                <w:rFonts w:cs="Arial"/>
              </w:rPr>
              <w:t xml:space="preserve"> deemed necessary to </w:t>
            </w:r>
            <w:r w:rsidRPr="00272CF3">
              <w:rPr>
                <w:rFonts w:cs="Arial"/>
              </w:rPr>
              <w:t xml:space="preserve">maintain </w:t>
            </w:r>
            <w:r>
              <w:rPr>
                <w:rFonts w:cs="Arial"/>
              </w:rPr>
              <w:t xml:space="preserve">the asset in a safe manner.  As a result </w:t>
            </w:r>
            <w:r w:rsidRPr="00272CF3">
              <w:rPr>
                <w:rFonts w:cs="Arial"/>
              </w:rPr>
              <w:t xml:space="preserve">only </w:t>
            </w:r>
            <w:r>
              <w:rPr>
                <w:rFonts w:cs="Arial"/>
              </w:rPr>
              <w:t xml:space="preserve">those </w:t>
            </w:r>
            <w:r w:rsidRPr="00272CF3">
              <w:rPr>
                <w:rFonts w:cs="Arial"/>
              </w:rPr>
              <w:t>essential and critical repairs that are affordable are undertaken.  The risks and consequence</w:t>
            </w:r>
            <w:r>
              <w:rPr>
                <w:rFonts w:cs="Arial"/>
              </w:rPr>
              <w:t>s</w:t>
            </w:r>
            <w:r w:rsidRPr="00272CF3">
              <w:rPr>
                <w:rFonts w:cs="Arial"/>
              </w:rPr>
              <w:t xml:space="preserve"> associated with providing this service level are summarised below:</w:t>
            </w:r>
          </w:p>
          <w:p w:rsidR="008A0D11" w:rsidRPr="00272CF3" w:rsidRDefault="008A0D11" w:rsidP="009F386F">
            <w:pPr>
              <w:jc w:val="both"/>
              <w:rPr>
                <w:rFonts w:cs="Arial"/>
              </w:rPr>
            </w:pPr>
          </w:p>
          <w:p w:rsidR="008A0D11" w:rsidRPr="00272CF3" w:rsidRDefault="008A0D11" w:rsidP="00E72B3C">
            <w:pPr>
              <w:pStyle w:val="ListParagraph"/>
              <w:numPr>
                <w:ilvl w:val="0"/>
                <w:numId w:val="37"/>
              </w:numPr>
              <w:ind w:left="357" w:hanging="357"/>
              <w:jc w:val="both"/>
              <w:rPr>
                <w:rFonts w:cs="Arial"/>
                <w:b/>
              </w:rPr>
            </w:pPr>
            <w:r w:rsidRPr="00272CF3">
              <w:rPr>
                <w:rFonts w:cs="Arial"/>
                <w:b/>
              </w:rPr>
              <w:t>Legal</w:t>
            </w:r>
          </w:p>
          <w:p w:rsidR="008A0D11" w:rsidRPr="006B6BB9" w:rsidRDefault="008A0D11" w:rsidP="00E72B3C">
            <w:pPr>
              <w:pStyle w:val="ListParagraph"/>
              <w:numPr>
                <w:ilvl w:val="0"/>
                <w:numId w:val="14"/>
              </w:numPr>
              <w:spacing w:line="276" w:lineRule="auto"/>
              <w:ind w:left="357" w:hanging="357"/>
              <w:jc w:val="both"/>
              <w:rPr>
                <w:rFonts w:cs="Arial"/>
                <w:color w:val="000000" w:themeColor="text1"/>
              </w:rPr>
            </w:pPr>
            <w:r w:rsidRPr="006B6BB9">
              <w:rPr>
                <w:rFonts w:cs="Arial"/>
                <w:color w:val="000000" w:themeColor="text1"/>
              </w:rPr>
              <w:t xml:space="preserve">Unable to </w:t>
            </w:r>
            <w:r>
              <w:rPr>
                <w:rFonts w:cs="Arial"/>
                <w:color w:val="000000" w:themeColor="text1"/>
              </w:rPr>
              <w:t xml:space="preserve">ensure that we </w:t>
            </w:r>
            <w:r w:rsidRPr="006B6BB9">
              <w:rPr>
                <w:rFonts w:cs="Arial"/>
                <w:color w:val="000000" w:themeColor="text1"/>
              </w:rPr>
              <w:t>carry out all those duties that are incumbent on the authority through law, statutory duties or mandatory requirements;</w:t>
            </w:r>
          </w:p>
          <w:p w:rsidR="008A0D11" w:rsidRPr="006B6BB9" w:rsidRDefault="008A0D11" w:rsidP="00E72B3C">
            <w:pPr>
              <w:pStyle w:val="ListParagraph"/>
              <w:numPr>
                <w:ilvl w:val="0"/>
                <w:numId w:val="14"/>
              </w:numPr>
              <w:spacing w:line="276" w:lineRule="auto"/>
              <w:ind w:left="357" w:hanging="357"/>
              <w:jc w:val="both"/>
              <w:rPr>
                <w:rFonts w:cs="Arial"/>
                <w:color w:val="000000" w:themeColor="text1"/>
              </w:rPr>
            </w:pPr>
            <w:r w:rsidRPr="006B6BB9">
              <w:rPr>
                <w:rFonts w:cs="Arial"/>
                <w:color w:val="000000" w:themeColor="text1"/>
              </w:rPr>
              <w:t xml:space="preserve">Insufficient allocation to carry out works to recommendations contained in relevant </w:t>
            </w:r>
            <w:r>
              <w:rPr>
                <w:rFonts w:cs="Arial"/>
                <w:color w:val="000000" w:themeColor="text1"/>
              </w:rPr>
              <w:t>c</w:t>
            </w:r>
            <w:r w:rsidRPr="006B6BB9">
              <w:rPr>
                <w:rFonts w:cs="Arial"/>
                <w:color w:val="000000" w:themeColor="text1"/>
              </w:rPr>
              <w:t xml:space="preserve">odes of </w:t>
            </w:r>
            <w:r>
              <w:rPr>
                <w:rFonts w:cs="Arial"/>
                <w:color w:val="000000" w:themeColor="text1"/>
              </w:rPr>
              <w:t>p</w:t>
            </w:r>
            <w:r w:rsidRPr="006B6BB9">
              <w:rPr>
                <w:rFonts w:cs="Arial"/>
                <w:color w:val="000000" w:themeColor="text1"/>
              </w:rPr>
              <w:t>ractice for which there is no approved derogation</w:t>
            </w:r>
            <w:r>
              <w:rPr>
                <w:rFonts w:cs="Arial"/>
                <w:color w:val="000000" w:themeColor="text1"/>
              </w:rPr>
              <w:t>;</w:t>
            </w:r>
          </w:p>
          <w:p w:rsidR="008A0D11" w:rsidRPr="00272CF3" w:rsidRDefault="008A0D11" w:rsidP="00E72B3C">
            <w:pPr>
              <w:pStyle w:val="ListParagraph"/>
              <w:numPr>
                <w:ilvl w:val="0"/>
                <w:numId w:val="14"/>
              </w:numPr>
              <w:spacing w:line="276" w:lineRule="auto"/>
              <w:ind w:left="357" w:hanging="357"/>
              <w:jc w:val="both"/>
              <w:rPr>
                <w:rFonts w:cs="Arial"/>
              </w:rPr>
            </w:pPr>
            <w:r w:rsidRPr="006B6BB9">
              <w:rPr>
                <w:rFonts w:cs="Arial"/>
                <w:color w:val="000000" w:themeColor="text1"/>
              </w:rPr>
              <w:t>Authority</w:t>
            </w:r>
            <w:r w:rsidRPr="00272CF3">
              <w:rPr>
                <w:rFonts w:cs="Arial"/>
              </w:rPr>
              <w:t xml:space="preserve"> is more exposed to legal action up to and including corporate manslaughter;</w:t>
            </w:r>
          </w:p>
          <w:p w:rsidR="008A0D11" w:rsidRPr="00272CF3" w:rsidRDefault="008A0D11" w:rsidP="00E72B3C">
            <w:pPr>
              <w:pStyle w:val="ListParagraph"/>
              <w:numPr>
                <w:ilvl w:val="0"/>
                <w:numId w:val="14"/>
              </w:numPr>
              <w:spacing w:line="276" w:lineRule="auto"/>
              <w:ind w:left="357" w:hanging="357"/>
              <w:jc w:val="both"/>
              <w:rPr>
                <w:rFonts w:cs="Arial"/>
              </w:rPr>
            </w:pPr>
            <w:r w:rsidRPr="00272CF3">
              <w:rPr>
                <w:rFonts w:cs="Arial"/>
              </w:rPr>
              <w:t>Degree of risk may be mitigated by a robust risk assessment which describes the reasons for deviation from the code of practice.</w:t>
            </w:r>
          </w:p>
          <w:p w:rsidR="008A0D11" w:rsidRPr="00272CF3" w:rsidRDefault="008A0D11" w:rsidP="009F386F">
            <w:pPr>
              <w:jc w:val="both"/>
              <w:rPr>
                <w:rFonts w:cs="Arial"/>
              </w:rPr>
            </w:pPr>
          </w:p>
          <w:p w:rsidR="008A0D11" w:rsidRPr="00272CF3" w:rsidRDefault="008A0D11" w:rsidP="00E72B3C">
            <w:pPr>
              <w:pStyle w:val="ListParagraph"/>
              <w:numPr>
                <w:ilvl w:val="0"/>
                <w:numId w:val="37"/>
              </w:numPr>
              <w:ind w:left="357" w:hanging="357"/>
              <w:jc w:val="both"/>
              <w:rPr>
                <w:rFonts w:cs="Arial"/>
                <w:b/>
              </w:rPr>
            </w:pPr>
            <w:r w:rsidRPr="00272CF3">
              <w:rPr>
                <w:rFonts w:cs="Arial"/>
                <w:b/>
              </w:rPr>
              <w:t>Safety</w:t>
            </w:r>
          </w:p>
          <w:p w:rsidR="008A0D11" w:rsidRPr="00272CF3" w:rsidRDefault="008A0D11" w:rsidP="00E72B3C">
            <w:pPr>
              <w:pStyle w:val="ListParagraph"/>
              <w:numPr>
                <w:ilvl w:val="0"/>
                <w:numId w:val="20"/>
              </w:numPr>
              <w:spacing w:line="276" w:lineRule="auto"/>
              <w:ind w:left="357" w:hanging="357"/>
              <w:jc w:val="both"/>
              <w:rPr>
                <w:rFonts w:cs="Arial"/>
                <w:color w:val="000000" w:themeColor="text1"/>
              </w:rPr>
            </w:pPr>
            <w:r w:rsidRPr="00272CF3">
              <w:rPr>
                <w:rFonts w:cs="Arial"/>
                <w:color w:val="000000" w:themeColor="text1"/>
              </w:rPr>
              <w:t xml:space="preserve">In all cases </w:t>
            </w:r>
            <w:r w:rsidRPr="00272CF3">
              <w:rPr>
                <w:rFonts w:cs="Arial"/>
                <w:b/>
                <w:color w:val="000000" w:themeColor="text1"/>
              </w:rPr>
              <w:t>except</w:t>
            </w:r>
            <w:r w:rsidRPr="00272CF3">
              <w:rPr>
                <w:rFonts w:cs="Arial"/>
                <w:color w:val="000000" w:themeColor="text1"/>
              </w:rPr>
              <w:t xml:space="preserve"> where the asset condition was formerly </w:t>
            </w:r>
            <w:r>
              <w:rPr>
                <w:rFonts w:cs="Arial"/>
                <w:color w:val="000000" w:themeColor="text1"/>
              </w:rPr>
              <w:t>GOOD or EXCELLENT</w:t>
            </w:r>
            <w:r w:rsidRPr="00272CF3">
              <w:rPr>
                <w:rFonts w:cs="Arial"/>
                <w:color w:val="000000" w:themeColor="text1"/>
              </w:rPr>
              <w:t xml:space="preserve"> it is likely to result in a significant increase in the risks associated with safety or legal deficits;</w:t>
            </w:r>
          </w:p>
          <w:p w:rsidR="008A0D11" w:rsidRPr="00272CF3" w:rsidRDefault="008A0D11" w:rsidP="00E72B3C">
            <w:pPr>
              <w:pStyle w:val="ListParagraph"/>
              <w:numPr>
                <w:ilvl w:val="0"/>
                <w:numId w:val="18"/>
              </w:numPr>
              <w:spacing w:line="276" w:lineRule="auto"/>
              <w:ind w:left="357" w:hanging="357"/>
              <w:jc w:val="both"/>
              <w:rPr>
                <w:rFonts w:cs="Arial"/>
              </w:rPr>
            </w:pPr>
            <w:r w:rsidRPr="00272CF3">
              <w:rPr>
                <w:rFonts w:cs="Arial"/>
              </w:rPr>
              <w:t>Risks associated with the asset may be increased with attendant risks of legal exposure;</w:t>
            </w:r>
          </w:p>
          <w:p w:rsidR="008A0D11" w:rsidRPr="00272CF3" w:rsidRDefault="008A0D11" w:rsidP="00E72B3C">
            <w:pPr>
              <w:pStyle w:val="ListParagraph"/>
              <w:numPr>
                <w:ilvl w:val="0"/>
                <w:numId w:val="18"/>
              </w:numPr>
              <w:spacing w:line="276" w:lineRule="auto"/>
              <w:ind w:left="357" w:hanging="357"/>
              <w:jc w:val="both"/>
              <w:rPr>
                <w:rFonts w:cs="Arial"/>
              </w:rPr>
            </w:pPr>
            <w:r w:rsidRPr="00272CF3">
              <w:rPr>
                <w:rFonts w:cs="Arial"/>
              </w:rPr>
              <w:t xml:space="preserve">Likely to result in a </w:t>
            </w:r>
            <w:r>
              <w:rPr>
                <w:rFonts w:cs="Arial"/>
              </w:rPr>
              <w:t>significant</w:t>
            </w:r>
            <w:r w:rsidRPr="00272CF3">
              <w:rPr>
                <w:rFonts w:cs="Arial"/>
              </w:rPr>
              <w:t xml:space="preserve"> increase in third party claims against LCC for personal injury and third party damage;</w:t>
            </w:r>
          </w:p>
          <w:p w:rsidR="008A0D11" w:rsidRPr="00272CF3" w:rsidRDefault="008A0D11" w:rsidP="00E72B3C">
            <w:pPr>
              <w:pStyle w:val="ListParagraph"/>
              <w:numPr>
                <w:ilvl w:val="0"/>
                <w:numId w:val="15"/>
              </w:numPr>
              <w:spacing w:line="276" w:lineRule="auto"/>
              <w:ind w:left="357" w:hanging="357"/>
              <w:jc w:val="both"/>
              <w:rPr>
                <w:rFonts w:cs="Arial"/>
                <w:b/>
                <w:color w:val="000000" w:themeColor="text1"/>
              </w:rPr>
            </w:pPr>
            <w:r w:rsidRPr="00272CF3">
              <w:rPr>
                <w:rFonts w:cs="Arial"/>
                <w:color w:val="000000" w:themeColor="text1"/>
              </w:rPr>
              <w:t>Heavy reliance on Safety Inspection regime to identify defects.</w:t>
            </w:r>
          </w:p>
          <w:p w:rsidR="008A0D11" w:rsidRPr="00272CF3" w:rsidRDefault="008A0D11" w:rsidP="009F386F">
            <w:pPr>
              <w:ind w:left="357" w:hanging="357"/>
              <w:jc w:val="both"/>
              <w:rPr>
                <w:rFonts w:cs="Arial"/>
              </w:rPr>
            </w:pPr>
          </w:p>
          <w:p w:rsidR="008A0D11" w:rsidRPr="00272CF3" w:rsidRDefault="008A0D11" w:rsidP="00E72B3C">
            <w:pPr>
              <w:pStyle w:val="ListParagraph"/>
              <w:numPr>
                <w:ilvl w:val="0"/>
                <w:numId w:val="37"/>
              </w:numPr>
              <w:ind w:left="357" w:hanging="357"/>
              <w:jc w:val="both"/>
              <w:rPr>
                <w:rFonts w:cs="Arial"/>
                <w:b/>
              </w:rPr>
            </w:pPr>
            <w:r w:rsidRPr="00272CF3">
              <w:rPr>
                <w:rFonts w:cs="Arial"/>
                <w:b/>
              </w:rPr>
              <w:t>Availability</w:t>
            </w:r>
          </w:p>
          <w:p w:rsidR="008A0D11" w:rsidRPr="00272CF3" w:rsidRDefault="008A0D11" w:rsidP="00E72B3C">
            <w:pPr>
              <w:pStyle w:val="ListParagraph"/>
              <w:numPr>
                <w:ilvl w:val="0"/>
                <w:numId w:val="14"/>
              </w:numPr>
              <w:spacing w:line="276" w:lineRule="auto"/>
              <w:ind w:left="357" w:hanging="357"/>
              <w:jc w:val="both"/>
              <w:rPr>
                <w:rFonts w:cs="Arial"/>
              </w:rPr>
            </w:pPr>
            <w:r w:rsidRPr="00272CF3">
              <w:rPr>
                <w:rFonts w:cs="Arial"/>
              </w:rPr>
              <w:t>Availability of entire network cannot be guaranteed;</w:t>
            </w:r>
          </w:p>
          <w:p w:rsidR="008A0D11" w:rsidRPr="00272CF3" w:rsidRDefault="008A0D11" w:rsidP="00E72B3C">
            <w:pPr>
              <w:pStyle w:val="ListParagraph"/>
              <w:numPr>
                <w:ilvl w:val="0"/>
                <w:numId w:val="14"/>
              </w:numPr>
              <w:spacing w:line="276" w:lineRule="auto"/>
              <w:ind w:left="357" w:hanging="357"/>
              <w:jc w:val="both"/>
              <w:rPr>
                <w:rFonts w:cs="Arial"/>
              </w:rPr>
            </w:pPr>
            <w:r w:rsidRPr="00272CF3">
              <w:rPr>
                <w:rFonts w:cs="Arial"/>
              </w:rPr>
              <w:t>Poor asset condition means parts of the asset may be withdrawn on a temporary or permanent basis to reduce the safety and legal exposure of the authority;</w:t>
            </w:r>
          </w:p>
          <w:p w:rsidR="008A0D11" w:rsidRPr="00272CF3" w:rsidRDefault="008A0D11" w:rsidP="00E72B3C">
            <w:pPr>
              <w:pStyle w:val="ListParagraph"/>
              <w:numPr>
                <w:ilvl w:val="0"/>
                <w:numId w:val="14"/>
              </w:numPr>
              <w:spacing w:line="276" w:lineRule="auto"/>
              <w:ind w:left="357" w:hanging="357"/>
              <w:jc w:val="both"/>
              <w:rPr>
                <w:rFonts w:cs="Arial"/>
                <w:color w:val="000000" w:themeColor="text1"/>
              </w:rPr>
            </w:pPr>
            <w:r w:rsidRPr="00272CF3">
              <w:rPr>
                <w:rFonts w:cs="Arial"/>
                <w:color w:val="000000" w:themeColor="text1"/>
              </w:rPr>
              <w:t xml:space="preserve">As no </w:t>
            </w:r>
            <w:r>
              <w:rPr>
                <w:rFonts w:cs="Arial"/>
                <w:color w:val="000000" w:themeColor="text1"/>
              </w:rPr>
              <w:t>programmed</w:t>
            </w:r>
            <w:r w:rsidRPr="00272CF3">
              <w:rPr>
                <w:rFonts w:cs="Arial"/>
                <w:color w:val="000000" w:themeColor="text1"/>
              </w:rPr>
              <w:t xml:space="preserve"> maintenance </w:t>
            </w:r>
            <w:r>
              <w:rPr>
                <w:rFonts w:cs="Arial"/>
                <w:color w:val="000000" w:themeColor="text1"/>
              </w:rPr>
              <w:t xml:space="preserve">work is </w:t>
            </w:r>
            <w:r w:rsidRPr="00272CF3">
              <w:rPr>
                <w:rFonts w:cs="Arial"/>
                <w:color w:val="000000" w:themeColor="text1"/>
              </w:rPr>
              <w:t>undertaken assets may be withdrawn from service for some time.</w:t>
            </w:r>
          </w:p>
          <w:p w:rsidR="008A0D11" w:rsidRPr="00272CF3" w:rsidRDefault="008A0D11" w:rsidP="009F386F">
            <w:pPr>
              <w:ind w:left="40"/>
              <w:jc w:val="both"/>
              <w:rPr>
                <w:rFonts w:cs="Arial"/>
              </w:rPr>
            </w:pPr>
          </w:p>
          <w:p w:rsidR="008A0D11" w:rsidRPr="00272CF3" w:rsidRDefault="008A0D11" w:rsidP="00E72B3C">
            <w:pPr>
              <w:pStyle w:val="ListParagraph"/>
              <w:numPr>
                <w:ilvl w:val="0"/>
                <w:numId w:val="37"/>
              </w:numPr>
              <w:ind w:left="357" w:hanging="357"/>
              <w:jc w:val="both"/>
              <w:rPr>
                <w:rFonts w:cs="Arial"/>
                <w:b/>
              </w:rPr>
            </w:pPr>
            <w:r w:rsidRPr="00272CF3">
              <w:rPr>
                <w:rFonts w:cs="Arial"/>
                <w:b/>
              </w:rPr>
              <w:t>Condition</w:t>
            </w:r>
          </w:p>
          <w:p w:rsidR="008A0D11" w:rsidRPr="00272CF3" w:rsidRDefault="008A0D11" w:rsidP="00E72B3C">
            <w:pPr>
              <w:pStyle w:val="ListParagraph"/>
              <w:numPr>
                <w:ilvl w:val="0"/>
                <w:numId w:val="19"/>
              </w:numPr>
              <w:spacing w:line="276" w:lineRule="auto"/>
              <w:ind w:left="357" w:hanging="357"/>
              <w:jc w:val="both"/>
              <w:rPr>
                <w:rFonts w:cs="Arial"/>
              </w:rPr>
            </w:pPr>
            <w:r w:rsidRPr="00272CF3">
              <w:rPr>
                <w:rFonts w:cs="Arial"/>
              </w:rPr>
              <w:t xml:space="preserve">Condition of the asset will quickly deteriorate as investment is not keeping pace with the maintenance requirements.  </w:t>
            </w:r>
            <w:r>
              <w:rPr>
                <w:rFonts w:cs="Arial"/>
              </w:rPr>
              <w:t>This standard is no</w:t>
            </w:r>
            <w:r w:rsidRPr="00272CF3">
              <w:rPr>
                <w:rFonts w:cs="Arial"/>
                <w:color w:val="000000" w:themeColor="text1"/>
              </w:rPr>
              <w:t>t sustainable over the long term;</w:t>
            </w:r>
          </w:p>
          <w:p w:rsidR="008A0D11" w:rsidRPr="00272CF3" w:rsidRDefault="008A0D11" w:rsidP="00E72B3C">
            <w:pPr>
              <w:pStyle w:val="ListParagraph"/>
              <w:numPr>
                <w:ilvl w:val="0"/>
                <w:numId w:val="19"/>
              </w:numPr>
              <w:spacing w:line="276" w:lineRule="auto"/>
              <w:ind w:left="357" w:hanging="357"/>
              <w:jc w:val="both"/>
              <w:rPr>
                <w:rFonts w:cs="Arial"/>
              </w:rPr>
            </w:pPr>
            <w:r w:rsidRPr="00272CF3">
              <w:rPr>
                <w:rFonts w:cs="Arial"/>
              </w:rPr>
              <w:t xml:space="preserve">It is assumed that </w:t>
            </w:r>
            <w:r>
              <w:rPr>
                <w:rFonts w:cs="Arial"/>
              </w:rPr>
              <w:t xml:space="preserve">the rate of </w:t>
            </w:r>
            <w:r w:rsidRPr="00272CF3">
              <w:rPr>
                <w:rFonts w:cs="Arial"/>
              </w:rPr>
              <w:t xml:space="preserve">deterioration exceeds the under investment required to maintain condition by a factor of at least 50% i.e. investment </w:t>
            </w:r>
            <w:r>
              <w:rPr>
                <w:rFonts w:cs="Arial"/>
              </w:rPr>
              <w:t>£</w:t>
            </w:r>
            <w:r w:rsidRPr="00272CF3">
              <w:rPr>
                <w:rFonts w:cs="Arial"/>
              </w:rPr>
              <w:t>10m less than required means a de</w:t>
            </w:r>
            <w:r>
              <w:rPr>
                <w:rFonts w:cs="Arial"/>
              </w:rPr>
              <w:t>preciation</w:t>
            </w:r>
            <w:r w:rsidRPr="00272CF3">
              <w:rPr>
                <w:rFonts w:cs="Arial"/>
              </w:rPr>
              <w:t xml:space="preserve"> of </w:t>
            </w:r>
            <w:r>
              <w:rPr>
                <w:rFonts w:cs="Arial"/>
              </w:rPr>
              <w:t>£</w:t>
            </w:r>
            <w:r w:rsidRPr="00272CF3">
              <w:rPr>
                <w:rFonts w:cs="Arial"/>
              </w:rPr>
              <w:t>15m in asset value.</w:t>
            </w:r>
          </w:p>
          <w:p w:rsidR="008A0D11" w:rsidRPr="00272CF3" w:rsidRDefault="008A0D11" w:rsidP="009F386F">
            <w:pPr>
              <w:jc w:val="both"/>
              <w:rPr>
                <w:rFonts w:cs="Arial"/>
              </w:rPr>
            </w:pPr>
          </w:p>
          <w:p w:rsidR="008A0D11" w:rsidRPr="00272CF3" w:rsidRDefault="008A0D11" w:rsidP="00E72B3C">
            <w:pPr>
              <w:pStyle w:val="ListParagraph"/>
              <w:numPr>
                <w:ilvl w:val="0"/>
                <w:numId w:val="37"/>
              </w:numPr>
              <w:ind w:left="357" w:hanging="357"/>
              <w:jc w:val="both"/>
              <w:rPr>
                <w:rFonts w:cs="Arial"/>
                <w:b/>
              </w:rPr>
            </w:pPr>
            <w:r w:rsidRPr="00272CF3">
              <w:rPr>
                <w:rFonts w:cs="Arial"/>
                <w:b/>
              </w:rPr>
              <w:t>Asset Value</w:t>
            </w:r>
          </w:p>
          <w:p w:rsidR="008A0D11" w:rsidRPr="00272CF3" w:rsidRDefault="008A0D11" w:rsidP="00E72B3C">
            <w:pPr>
              <w:pStyle w:val="ListParagraph"/>
              <w:numPr>
                <w:ilvl w:val="0"/>
                <w:numId w:val="20"/>
              </w:numPr>
              <w:spacing w:line="276" w:lineRule="auto"/>
              <w:ind w:left="357" w:hanging="357"/>
              <w:jc w:val="both"/>
              <w:rPr>
                <w:rFonts w:cs="Arial"/>
                <w:color w:val="000000" w:themeColor="text1"/>
              </w:rPr>
            </w:pPr>
            <w:r w:rsidRPr="00272CF3">
              <w:rPr>
                <w:rFonts w:cs="Arial"/>
                <w:color w:val="000000" w:themeColor="text1"/>
              </w:rPr>
              <w:t xml:space="preserve">Asset value is likely to be </w:t>
            </w:r>
            <w:r>
              <w:rPr>
                <w:rFonts w:cs="Arial"/>
                <w:color w:val="000000" w:themeColor="text1"/>
              </w:rPr>
              <w:t>depreciating</w:t>
            </w:r>
            <w:r w:rsidRPr="00272CF3">
              <w:rPr>
                <w:rFonts w:cs="Arial"/>
                <w:color w:val="000000" w:themeColor="text1"/>
              </w:rPr>
              <w:t xml:space="preserve"> more rapidly as a result of minimal investment;</w:t>
            </w:r>
          </w:p>
          <w:p w:rsidR="008A0D11" w:rsidRPr="00272CF3" w:rsidRDefault="008A0D11" w:rsidP="00E72B3C">
            <w:pPr>
              <w:pStyle w:val="ListParagraph"/>
              <w:numPr>
                <w:ilvl w:val="0"/>
                <w:numId w:val="13"/>
              </w:numPr>
              <w:spacing w:line="276" w:lineRule="auto"/>
              <w:ind w:left="357" w:hanging="357"/>
              <w:jc w:val="both"/>
              <w:rPr>
                <w:rFonts w:cs="Arial"/>
                <w:color w:val="000000" w:themeColor="text1"/>
              </w:rPr>
            </w:pPr>
            <w:r>
              <w:rPr>
                <w:rFonts w:cs="Arial"/>
                <w:color w:val="000000" w:themeColor="text1"/>
              </w:rPr>
              <w:t xml:space="preserve">Maintenance </w:t>
            </w:r>
            <w:r w:rsidRPr="00272CF3">
              <w:rPr>
                <w:rFonts w:cs="Arial"/>
                <w:color w:val="000000" w:themeColor="text1"/>
              </w:rPr>
              <w:t xml:space="preserve">heavily reliant on reactive </w:t>
            </w:r>
            <w:r>
              <w:rPr>
                <w:rFonts w:cs="Arial"/>
                <w:color w:val="000000" w:themeColor="text1"/>
              </w:rPr>
              <w:t xml:space="preserve">activities which </w:t>
            </w:r>
            <w:r w:rsidRPr="00272CF3">
              <w:rPr>
                <w:rFonts w:cs="Arial"/>
                <w:color w:val="000000" w:themeColor="text1"/>
              </w:rPr>
              <w:t>result in unpredictable financial management and highest whole life costs;</w:t>
            </w:r>
          </w:p>
          <w:p w:rsidR="008A0D11" w:rsidRPr="00272CF3" w:rsidRDefault="008A0D11" w:rsidP="00E72B3C">
            <w:pPr>
              <w:pStyle w:val="ListParagraph"/>
              <w:numPr>
                <w:ilvl w:val="0"/>
                <w:numId w:val="13"/>
              </w:numPr>
              <w:spacing w:line="276" w:lineRule="auto"/>
              <w:ind w:left="357" w:hanging="357"/>
              <w:jc w:val="both"/>
              <w:rPr>
                <w:rFonts w:cs="Arial"/>
                <w:color w:val="000000" w:themeColor="text1"/>
              </w:rPr>
            </w:pPr>
            <w:r>
              <w:rPr>
                <w:rFonts w:cs="Arial"/>
                <w:color w:val="000000" w:themeColor="text1"/>
              </w:rPr>
              <w:t>The cost of i</w:t>
            </w:r>
            <w:r w:rsidRPr="00272CF3">
              <w:rPr>
                <w:rFonts w:cs="Arial"/>
                <w:color w:val="000000" w:themeColor="text1"/>
              </w:rPr>
              <w:t>nvestment needed to return the stock to the minimum standard is growing rapidly and exceeds the resources available.</w:t>
            </w:r>
          </w:p>
          <w:p w:rsidR="008A0D11" w:rsidRPr="00AD5DC2" w:rsidRDefault="008A0D11" w:rsidP="009F386F">
            <w:pPr>
              <w:jc w:val="both"/>
              <w:rPr>
                <w:rFonts w:cs="Arial"/>
              </w:rPr>
            </w:pPr>
          </w:p>
          <w:p w:rsidR="008A0D11" w:rsidRPr="00272CF3" w:rsidRDefault="008A0D11" w:rsidP="00E72B3C">
            <w:pPr>
              <w:pStyle w:val="ListParagraph"/>
              <w:numPr>
                <w:ilvl w:val="0"/>
                <w:numId w:val="37"/>
              </w:numPr>
              <w:ind w:left="357" w:hanging="357"/>
              <w:jc w:val="both"/>
              <w:rPr>
                <w:rFonts w:cs="Arial"/>
                <w:b/>
              </w:rPr>
            </w:pPr>
            <w:r w:rsidRPr="00272CF3">
              <w:rPr>
                <w:rFonts w:cs="Arial"/>
                <w:b/>
              </w:rPr>
              <w:t>Public Perception</w:t>
            </w:r>
          </w:p>
          <w:p w:rsidR="008A0D11" w:rsidRPr="00272CF3" w:rsidRDefault="008A0D11" w:rsidP="00E72B3C">
            <w:pPr>
              <w:pStyle w:val="ListParagraph"/>
              <w:numPr>
                <w:ilvl w:val="0"/>
                <w:numId w:val="20"/>
              </w:numPr>
              <w:spacing w:line="276" w:lineRule="auto"/>
              <w:ind w:left="357" w:hanging="357"/>
              <w:jc w:val="both"/>
              <w:rPr>
                <w:rFonts w:cs="Arial"/>
              </w:rPr>
            </w:pPr>
            <w:r w:rsidRPr="00272CF3">
              <w:rPr>
                <w:rFonts w:cs="Arial"/>
              </w:rPr>
              <w:t>Likely to be well aware that the asset is deteriorating and is becoming less available</w:t>
            </w:r>
            <w:r>
              <w:rPr>
                <w:rFonts w:cs="Arial"/>
              </w:rPr>
              <w:t>,</w:t>
            </w:r>
            <w:r w:rsidRPr="00272CF3">
              <w:rPr>
                <w:rFonts w:cs="Arial"/>
              </w:rPr>
              <w:t xml:space="preserve"> safe or fit for purpose;</w:t>
            </w:r>
          </w:p>
          <w:p w:rsidR="008A0D11" w:rsidRPr="00272CF3" w:rsidRDefault="008A0D11" w:rsidP="00E72B3C">
            <w:pPr>
              <w:pStyle w:val="ListParagraph"/>
              <w:numPr>
                <w:ilvl w:val="0"/>
                <w:numId w:val="20"/>
              </w:numPr>
              <w:spacing w:line="276" w:lineRule="auto"/>
              <w:ind w:left="357" w:hanging="357"/>
              <w:jc w:val="both"/>
              <w:rPr>
                <w:rFonts w:cs="Arial"/>
              </w:rPr>
            </w:pPr>
            <w:r w:rsidRPr="00272CF3">
              <w:rPr>
                <w:rFonts w:cs="Arial"/>
              </w:rPr>
              <w:t>Members in particular will be facing pressure for improvement and will seek to react to local pressures potentially diluting the impact on overall asset condition;</w:t>
            </w:r>
          </w:p>
          <w:p w:rsidR="008A0D11" w:rsidRPr="00272CF3" w:rsidRDefault="008A0D11" w:rsidP="00E72B3C">
            <w:pPr>
              <w:pStyle w:val="ListParagraph"/>
              <w:numPr>
                <w:ilvl w:val="0"/>
                <w:numId w:val="20"/>
              </w:numPr>
              <w:spacing w:line="276" w:lineRule="auto"/>
              <w:ind w:left="357" w:hanging="357"/>
              <w:jc w:val="both"/>
              <w:rPr>
                <w:rFonts w:cs="Arial"/>
              </w:rPr>
            </w:pPr>
            <w:r w:rsidRPr="00272CF3">
              <w:rPr>
                <w:rFonts w:cs="Arial"/>
              </w:rPr>
              <w:t>Complaints and claims would be expected to be high.</w:t>
            </w:r>
          </w:p>
          <w:p w:rsidR="008A0D11" w:rsidRPr="00272CF3" w:rsidRDefault="008A0D11" w:rsidP="009F386F">
            <w:pPr>
              <w:jc w:val="both"/>
              <w:rPr>
                <w:rFonts w:cs="Arial"/>
              </w:rPr>
            </w:pPr>
          </w:p>
          <w:p w:rsidR="008A0D11" w:rsidRPr="00272CF3" w:rsidRDefault="008A0D11" w:rsidP="00E72B3C">
            <w:pPr>
              <w:pStyle w:val="ListParagraph"/>
              <w:numPr>
                <w:ilvl w:val="0"/>
                <w:numId w:val="37"/>
              </w:numPr>
              <w:ind w:left="357" w:hanging="357"/>
              <w:jc w:val="both"/>
              <w:rPr>
                <w:rFonts w:cs="Arial"/>
                <w:b/>
              </w:rPr>
            </w:pPr>
            <w:r w:rsidRPr="00272CF3">
              <w:rPr>
                <w:rFonts w:cs="Arial"/>
                <w:b/>
              </w:rPr>
              <w:t>Service Delivery</w:t>
            </w:r>
          </w:p>
          <w:p w:rsidR="008A0D11" w:rsidRPr="00272CF3" w:rsidRDefault="008A0D11" w:rsidP="00E72B3C">
            <w:pPr>
              <w:pStyle w:val="ListParagraph"/>
              <w:numPr>
                <w:ilvl w:val="0"/>
                <w:numId w:val="21"/>
              </w:numPr>
              <w:spacing w:line="276" w:lineRule="auto"/>
              <w:ind w:left="357" w:hanging="357"/>
              <w:jc w:val="both"/>
              <w:rPr>
                <w:rFonts w:cs="Arial"/>
                <w:color w:val="000000" w:themeColor="text1"/>
              </w:rPr>
            </w:pPr>
            <w:r w:rsidRPr="00272CF3">
              <w:rPr>
                <w:rFonts w:cs="Arial"/>
              </w:rPr>
              <w:t>The princip</w:t>
            </w:r>
            <w:r>
              <w:rPr>
                <w:rFonts w:cs="Arial"/>
              </w:rPr>
              <w:t>le</w:t>
            </w:r>
            <w:r w:rsidRPr="00272CF3">
              <w:rPr>
                <w:rFonts w:cs="Arial"/>
              </w:rPr>
              <w:t xml:space="preserve"> focus is likely to be reactive maintenance with </w:t>
            </w:r>
            <w:r w:rsidRPr="00272CF3">
              <w:rPr>
                <w:rFonts w:cs="Arial"/>
                <w:color w:val="000000" w:themeColor="text1"/>
              </w:rPr>
              <w:t xml:space="preserve">minimum or no </w:t>
            </w:r>
            <w:r>
              <w:rPr>
                <w:rFonts w:cs="Arial"/>
                <w:color w:val="000000" w:themeColor="text1"/>
              </w:rPr>
              <w:t xml:space="preserve">preventative maintenance </w:t>
            </w:r>
            <w:r w:rsidRPr="00272CF3">
              <w:rPr>
                <w:rFonts w:cs="Arial"/>
                <w:color w:val="000000" w:themeColor="text1"/>
              </w:rPr>
              <w:t>intervention to prevent asset deterioration;</w:t>
            </w:r>
          </w:p>
          <w:p w:rsidR="008A0D11" w:rsidRPr="00272CF3" w:rsidRDefault="008A0D11" w:rsidP="00E72B3C">
            <w:pPr>
              <w:pStyle w:val="ListParagraph"/>
              <w:numPr>
                <w:ilvl w:val="0"/>
                <w:numId w:val="21"/>
              </w:numPr>
              <w:spacing w:line="276" w:lineRule="auto"/>
              <w:ind w:left="357" w:hanging="357"/>
              <w:jc w:val="both"/>
              <w:rPr>
                <w:rFonts w:cs="Arial"/>
              </w:rPr>
            </w:pPr>
            <w:r w:rsidRPr="00272CF3">
              <w:rPr>
                <w:rFonts w:cs="Arial"/>
              </w:rPr>
              <w:t>It will not be possible to address all issues rapidly and a prioritisation of service demands will be required;</w:t>
            </w:r>
          </w:p>
          <w:p w:rsidR="008A0D11" w:rsidRPr="00272CF3" w:rsidRDefault="008A0D11" w:rsidP="00E72B3C">
            <w:pPr>
              <w:pStyle w:val="ListParagraph"/>
              <w:numPr>
                <w:ilvl w:val="0"/>
                <w:numId w:val="21"/>
              </w:numPr>
              <w:spacing w:line="276" w:lineRule="auto"/>
              <w:ind w:left="357" w:hanging="357"/>
              <w:jc w:val="both"/>
              <w:rPr>
                <w:rFonts w:cs="Arial"/>
              </w:rPr>
            </w:pPr>
            <w:r w:rsidRPr="00272CF3">
              <w:rPr>
                <w:rFonts w:cs="Arial"/>
              </w:rPr>
              <w:t>It is likely that increasing portions of the asset are removed from service and that the trend accelerates with time as the asset ages;</w:t>
            </w:r>
          </w:p>
          <w:p w:rsidR="008A0D11" w:rsidRPr="00272CF3" w:rsidRDefault="008A0D11" w:rsidP="00E72B3C">
            <w:pPr>
              <w:pStyle w:val="ListParagraph"/>
              <w:numPr>
                <w:ilvl w:val="0"/>
                <w:numId w:val="21"/>
              </w:numPr>
              <w:spacing w:line="276" w:lineRule="auto"/>
              <w:ind w:left="357" w:hanging="357"/>
              <w:jc w:val="both"/>
              <w:rPr>
                <w:rFonts w:cs="Arial"/>
              </w:rPr>
            </w:pPr>
            <w:r w:rsidRPr="00272CF3">
              <w:rPr>
                <w:rFonts w:cs="Arial"/>
              </w:rPr>
              <w:t>An increasing backlog of maintenance issues will exacerbate the service problems and lead to a further chain reaction of deterioration;</w:t>
            </w:r>
          </w:p>
          <w:p w:rsidR="008A0D11" w:rsidRPr="00272CF3" w:rsidRDefault="008A0D11" w:rsidP="00E72B3C">
            <w:pPr>
              <w:pStyle w:val="ListParagraph"/>
              <w:numPr>
                <w:ilvl w:val="0"/>
                <w:numId w:val="21"/>
              </w:numPr>
              <w:spacing w:line="276" w:lineRule="auto"/>
              <w:ind w:left="357" w:hanging="357"/>
              <w:jc w:val="both"/>
              <w:rPr>
                <w:rFonts w:cs="Arial"/>
              </w:rPr>
            </w:pPr>
            <w:r w:rsidRPr="002C3218">
              <w:rPr>
                <w:rFonts w:cs="Arial"/>
              </w:rPr>
              <w:t>De</w:t>
            </w:r>
            <w:r>
              <w:rPr>
                <w:rFonts w:cs="Arial"/>
              </w:rPr>
              <w:t>preciation</w:t>
            </w:r>
            <w:r w:rsidRPr="002C3218">
              <w:rPr>
                <w:rFonts w:cs="Arial"/>
              </w:rPr>
              <w:t xml:space="preserve"> in the asset value would be expected to exceed the under investment required</w:t>
            </w:r>
            <w:r>
              <w:rPr>
                <w:rFonts w:cs="Arial"/>
              </w:rPr>
              <w:t xml:space="preserve"> to</w:t>
            </w:r>
            <w:r w:rsidRPr="002C3218">
              <w:rPr>
                <w:rFonts w:cs="Arial"/>
              </w:rPr>
              <w:t xml:space="preserve"> achieve a </w:t>
            </w:r>
            <w:r>
              <w:rPr>
                <w:rFonts w:cs="Arial"/>
              </w:rPr>
              <w:t>FAIR</w:t>
            </w:r>
            <w:r w:rsidRPr="002C3218">
              <w:rPr>
                <w:rFonts w:cs="Arial"/>
              </w:rPr>
              <w:t xml:space="preserve"> standard</w:t>
            </w:r>
            <w:r>
              <w:rPr>
                <w:rFonts w:cs="Arial"/>
              </w:rPr>
              <w:t>. I</w:t>
            </w:r>
            <w:r w:rsidRPr="002C3218">
              <w:rPr>
                <w:rFonts w:cs="Arial"/>
              </w:rPr>
              <w:t>t would be expected that initially deterioration would outstrip underinvestment by 50% with that proportion tending to increase year on year.</w:t>
            </w:r>
          </w:p>
        </w:tc>
      </w:tr>
      <w:tr w:rsidR="008A0D11" w:rsidRPr="00272CF3" w:rsidTr="009F386F">
        <w:tc>
          <w:tcPr>
            <w:tcW w:w="1701" w:type="dxa"/>
            <w:shd w:val="clear" w:color="auto" w:fill="FFC000"/>
          </w:tcPr>
          <w:p w:rsidR="008A0D11" w:rsidRPr="008C65A9" w:rsidRDefault="008A0D11" w:rsidP="009F386F">
            <w:pPr>
              <w:spacing w:line="276" w:lineRule="auto"/>
              <w:jc w:val="both"/>
              <w:rPr>
                <w:rFonts w:cs="Arial"/>
                <w:color w:val="000000" w:themeColor="text1"/>
              </w:rPr>
            </w:pPr>
            <w:r w:rsidRPr="008C65A9">
              <w:rPr>
                <w:rFonts w:cs="Arial"/>
                <w:b/>
                <w:color w:val="000000" w:themeColor="text1"/>
              </w:rPr>
              <w:t>ACCEPTABLE</w:t>
            </w:r>
          </w:p>
        </w:tc>
        <w:tc>
          <w:tcPr>
            <w:tcW w:w="12643" w:type="dxa"/>
          </w:tcPr>
          <w:p w:rsidR="008A0D11" w:rsidRPr="00272CF3" w:rsidRDefault="008A0D11" w:rsidP="009F386F">
            <w:pPr>
              <w:spacing w:line="276" w:lineRule="auto"/>
              <w:ind w:left="397" w:hanging="357"/>
              <w:jc w:val="both"/>
              <w:rPr>
                <w:rFonts w:cs="Arial"/>
                <w:b/>
              </w:rPr>
            </w:pPr>
            <w:r w:rsidRPr="00272CF3">
              <w:rPr>
                <w:rFonts w:cs="Arial"/>
                <w:b/>
              </w:rPr>
              <w:t>Definition</w:t>
            </w:r>
          </w:p>
          <w:p w:rsidR="008A0D11" w:rsidRPr="00272CF3" w:rsidRDefault="008A0D11" w:rsidP="009F386F">
            <w:pPr>
              <w:spacing w:line="276" w:lineRule="auto"/>
              <w:jc w:val="both"/>
              <w:rPr>
                <w:rFonts w:cs="Arial"/>
              </w:rPr>
            </w:pPr>
            <w:r w:rsidRPr="00272CF3">
              <w:rPr>
                <w:rFonts w:cs="Arial"/>
              </w:rPr>
              <w:t xml:space="preserve">The minimum level of service to meet </w:t>
            </w:r>
            <w:r>
              <w:rPr>
                <w:rFonts w:cs="Arial"/>
              </w:rPr>
              <w:t xml:space="preserve">most </w:t>
            </w:r>
            <w:r w:rsidRPr="00272CF3">
              <w:rPr>
                <w:rFonts w:cs="Arial"/>
              </w:rPr>
              <w:t xml:space="preserve">statutory requirements and compliance with minimum requirements detailed in national </w:t>
            </w:r>
            <w:r>
              <w:rPr>
                <w:rFonts w:cs="Arial"/>
              </w:rPr>
              <w:t>c</w:t>
            </w:r>
            <w:r w:rsidRPr="00272CF3">
              <w:rPr>
                <w:rFonts w:cs="Arial"/>
              </w:rPr>
              <w:t xml:space="preserve">odes of </w:t>
            </w:r>
            <w:r>
              <w:rPr>
                <w:rFonts w:cs="Arial"/>
              </w:rPr>
              <w:t>p</w:t>
            </w:r>
            <w:r w:rsidRPr="00272CF3">
              <w:rPr>
                <w:rFonts w:cs="Arial"/>
              </w:rPr>
              <w:t>ractice.  The risks and consequence</w:t>
            </w:r>
            <w:r>
              <w:rPr>
                <w:rFonts w:cs="Arial"/>
              </w:rPr>
              <w:t>s</w:t>
            </w:r>
            <w:r w:rsidRPr="00272CF3">
              <w:rPr>
                <w:rFonts w:cs="Arial"/>
              </w:rPr>
              <w:t xml:space="preserve"> associated with providing this service level are summarised below </w:t>
            </w:r>
            <w:r>
              <w:rPr>
                <w:rFonts w:cs="Arial"/>
              </w:rPr>
              <w:t>:</w:t>
            </w:r>
          </w:p>
          <w:p w:rsidR="008A0D11" w:rsidRPr="00AD5DC2" w:rsidRDefault="008A0D11" w:rsidP="009F386F">
            <w:pPr>
              <w:spacing w:line="276" w:lineRule="auto"/>
              <w:ind w:left="357" w:hanging="357"/>
              <w:jc w:val="both"/>
              <w:rPr>
                <w:rFonts w:cs="Arial"/>
              </w:rPr>
            </w:pPr>
          </w:p>
          <w:p w:rsidR="008A0D11" w:rsidRPr="00272CF3" w:rsidRDefault="008A0D11" w:rsidP="00E72B3C">
            <w:pPr>
              <w:pStyle w:val="ListParagraph"/>
              <w:numPr>
                <w:ilvl w:val="0"/>
                <w:numId w:val="38"/>
              </w:numPr>
              <w:ind w:left="357" w:hanging="357"/>
              <w:jc w:val="both"/>
              <w:rPr>
                <w:rFonts w:cs="Arial"/>
                <w:b/>
              </w:rPr>
            </w:pPr>
            <w:r w:rsidRPr="00272CF3">
              <w:rPr>
                <w:rFonts w:cs="Arial"/>
                <w:b/>
              </w:rPr>
              <w:t>Legal</w:t>
            </w:r>
          </w:p>
          <w:p w:rsidR="008A0D11" w:rsidRPr="00272CF3" w:rsidRDefault="008A0D11" w:rsidP="00E72B3C">
            <w:pPr>
              <w:pStyle w:val="ListParagraph"/>
              <w:numPr>
                <w:ilvl w:val="0"/>
                <w:numId w:val="17"/>
              </w:numPr>
              <w:spacing w:line="276" w:lineRule="auto"/>
              <w:ind w:left="357" w:hanging="357"/>
              <w:jc w:val="both"/>
              <w:rPr>
                <w:rFonts w:cs="Arial"/>
              </w:rPr>
            </w:pPr>
            <w:r w:rsidRPr="00272CF3">
              <w:rPr>
                <w:rFonts w:cs="Arial"/>
              </w:rPr>
              <w:t>The authority complies with the requirements of the relevant codes of practice in all key respects; any derogation is documented and supported by a robust risk assessment;</w:t>
            </w:r>
          </w:p>
          <w:p w:rsidR="008A0D11" w:rsidRPr="00272CF3" w:rsidRDefault="008A0D11" w:rsidP="00E72B3C">
            <w:pPr>
              <w:pStyle w:val="ListParagraph"/>
              <w:numPr>
                <w:ilvl w:val="0"/>
                <w:numId w:val="17"/>
              </w:numPr>
              <w:spacing w:line="276" w:lineRule="auto"/>
              <w:ind w:left="357" w:hanging="357"/>
              <w:jc w:val="both"/>
              <w:rPr>
                <w:rFonts w:cs="Arial"/>
              </w:rPr>
            </w:pPr>
            <w:r w:rsidRPr="00272CF3">
              <w:rPr>
                <w:rFonts w:cs="Arial"/>
              </w:rPr>
              <w:t>We know what is required and how we deliver the requirements</w:t>
            </w:r>
            <w:r>
              <w:rPr>
                <w:rFonts w:cs="Arial"/>
              </w:rPr>
              <w:t>.</w:t>
            </w:r>
          </w:p>
          <w:p w:rsidR="008A0D11" w:rsidRPr="00AD5DC2" w:rsidRDefault="008A0D11" w:rsidP="009F386F">
            <w:pPr>
              <w:jc w:val="both"/>
              <w:rPr>
                <w:rFonts w:cs="Arial"/>
              </w:rPr>
            </w:pPr>
          </w:p>
          <w:p w:rsidR="008A0D11" w:rsidRPr="00272CF3" w:rsidRDefault="008A0D11" w:rsidP="00E72B3C">
            <w:pPr>
              <w:pStyle w:val="ListParagraph"/>
              <w:numPr>
                <w:ilvl w:val="0"/>
                <w:numId w:val="38"/>
              </w:numPr>
              <w:ind w:left="357" w:hanging="357"/>
              <w:jc w:val="both"/>
              <w:rPr>
                <w:rFonts w:cs="Arial"/>
                <w:b/>
                <w:color w:val="000000" w:themeColor="text1"/>
              </w:rPr>
            </w:pPr>
            <w:r w:rsidRPr="00272CF3">
              <w:rPr>
                <w:rFonts w:cs="Arial"/>
                <w:b/>
              </w:rPr>
              <w:t>Safety</w:t>
            </w:r>
          </w:p>
          <w:p w:rsidR="008A0D11" w:rsidRPr="00272CF3" w:rsidRDefault="008A0D11" w:rsidP="00E72B3C">
            <w:pPr>
              <w:pStyle w:val="ListParagraph"/>
              <w:numPr>
                <w:ilvl w:val="0"/>
                <w:numId w:val="27"/>
              </w:numPr>
              <w:spacing w:line="276" w:lineRule="auto"/>
              <w:ind w:left="357" w:hanging="357"/>
              <w:jc w:val="both"/>
              <w:rPr>
                <w:rFonts w:cs="Arial"/>
                <w:b/>
                <w:color w:val="000000" w:themeColor="text1"/>
              </w:rPr>
            </w:pPr>
            <w:r w:rsidRPr="00272CF3">
              <w:rPr>
                <w:rFonts w:cs="Arial"/>
                <w:color w:val="000000" w:themeColor="text1"/>
              </w:rPr>
              <w:t>High reliance on Safety Inspection regime to identify defects;</w:t>
            </w:r>
          </w:p>
          <w:p w:rsidR="008A0D11" w:rsidRPr="00272CF3" w:rsidRDefault="008A0D11" w:rsidP="00E72B3C">
            <w:pPr>
              <w:pStyle w:val="ListParagraph"/>
              <w:numPr>
                <w:ilvl w:val="0"/>
                <w:numId w:val="24"/>
              </w:numPr>
              <w:spacing w:line="276" w:lineRule="auto"/>
              <w:ind w:left="357" w:hanging="357"/>
              <w:jc w:val="both"/>
              <w:rPr>
                <w:rFonts w:cs="Arial"/>
              </w:rPr>
            </w:pPr>
            <w:r w:rsidRPr="00272CF3">
              <w:rPr>
                <w:rFonts w:cs="Arial"/>
              </w:rPr>
              <w:t xml:space="preserve">In all cases </w:t>
            </w:r>
            <w:r w:rsidRPr="00272CF3">
              <w:rPr>
                <w:rFonts w:cs="Arial"/>
                <w:b/>
              </w:rPr>
              <w:t>except</w:t>
            </w:r>
            <w:r w:rsidRPr="00272CF3">
              <w:rPr>
                <w:rFonts w:cs="Arial"/>
              </w:rPr>
              <w:t xml:space="preserve"> where the asset condition was formerly </w:t>
            </w:r>
            <w:r>
              <w:rPr>
                <w:rFonts w:cs="Arial"/>
              </w:rPr>
              <w:t>GOOD</w:t>
            </w:r>
            <w:r w:rsidRPr="00272CF3">
              <w:rPr>
                <w:rFonts w:cs="Arial"/>
              </w:rPr>
              <w:t xml:space="preserve"> or </w:t>
            </w:r>
            <w:r>
              <w:rPr>
                <w:rFonts w:cs="Arial"/>
              </w:rPr>
              <w:t>EXCELLENT</w:t>
            </w:r>
            <w:r w:rsidRPr="00272CF3">
              <w:rPr>
                <w:rFonts w:cs="Arial"/>
              </w:rPr>
              <w:t xml:space="preserve"> it is likely to result in an increase in the risks associated with safety or legal deficits;</w:t>
            </w:r>
          </w:p>
          <w:p w:rsidR="008A0D11" w:rsidRPr="00272CF3" w:rsidRDefault="008A0D11" w:rsidP="00E72B3C">
            <w:pPr>
              <w:pStyle w:val="ListParagraph"/>
              <w:numPr>
                <w:ilvl w:val="0"/>
                <w:numId w:val="22"/>
              </w:numPr>
              <w:spacing w:line="276" w:lineRule="auto"/>
              <w:ind w:left="357" w:hanging="357"/>
              <w:jc w:val="both"/>
              <w:rPr>
                <w:rFonts w:cs="Arial"/>
              </w:rPr>
            </w:pPr>
            <w:r w:rsidRPr="00272CF3">
              <w:rPr>
                <w:rFonts w:cs="Arial"/>
                <w:color w:val="000000" w:themeColor="text1"/>
              </w:rPr>
              <w:t>Safety defects are well defined with performance standards for rectification</w:t>
            </w:r>
            <w:r w:rsidRPr="00272CF3">
              <w:rPr>
                <w:rFonts w:cs="Arial"/>
              </w:rPr>
              <w:t xml:space="preserve"> of those defects.  Systems are in place to ensure proper assessment prioritisation and rectification of defects or temporary arrangements to mitigate risk until a permanent repair is possible;</w:t>
            </w:r>
          </w:p>
          <w:p w:rsidR="008A0D11" w:rsidRPr="00272CF3" w:rsidRDefault="008A0D11" w:rsidP="00E72B3C">
            <w:pPr>
              <w:pStyle w:val="ListParagraph"/>
              <w:numPr>
                <w:ilvl w:val="0"/>
                <w:numId w:val="22"/>
              </w:numPr>
              <w:spacing w:line="276" w:lineRule="auto"/>
              <w:ind w:left="357" w:hanging="357"/>
              <w:jc w:val="both"/>
              <w:rPr>
                <w:rFonts w:cs="Arial"/>
              </w:rPr>
            </w:pPr>
            <w:r w:rsidRPr="00272CF3">
              <w:rPr>
                <w:rFonts w:cs="Arial"/>
              </w:rPr>
              <w:t>We have relevant information to support our delivery to required performance standards.</w:t>
            </w:r>
          </w:p>
          <w:p w:rsidR="008A0D11" w:rsidRPr="00272CF3" w:rsidRDefault="008A0D11" w:rsidP="009F386F">
            <w:pPr>
              <w:jc w:val="both"/>
              <w:rPr>
                <w:rFonts w:cs="Arial"/>
              </w:rPr>
            </w:pPr>
          </w:p>
          <w:p w:rsidR="008A0D11" w:rsidRPr="00272CF3" w:rsidRDefault="008A0D11" w:rsidP="00E72B3C">
            <w:pPr>
              <w:pStyle w:val="ListParagraph"/>
              <w:numPr>
                <w:ilvl w:val="0"/>
                <w:numId w:val="38"/>
              </w:numPr>
              <w:ind w:left="357" w:hanging="357"/>
              <w:jc w:val="both"/>
              <w:rPr>
                <w:rFonts w:cs="Arial"/>
                <w:b/>
              </w:rPr>
            </w:pPr>
            <w:r w:rsidRPr="00272CF3">
              <w:rPr>
                <w:rFonts w:cs="Arial"/>
                <w:b/>
              </w:rPr>
              <w:t>Availability</w:t>
            </w:r>
          </w:p>
          <w:p w:rsidR="008A0D11" w:rsidRPr="00272CF3" w:rsidRDefault="008A0D11" w:rsidP="00E72B3C">
            <w:pPr>
              <w:pStyle w:val="ListParagraph"/>
              <w:numPr>
                <w:ilvl w:val="0"/>
                <w:numId w:val="23"/>
              </w:numPr>
              <w:spacing w:line="276" w:lineRule="auto"/>
              <w:ind w:left="357" w:hanging="357"/>
              <w:jc w:val="both"/>
              <w:rPr>
                <w:rFonts w:cs="Arial"/>
              </w:rPr>
            </w:pPr>
            <w:r w:rsidRPr="00272CF3">
              <w:rPr>
                <w:rFonts w:cs="Arial"/>
              </w:rPr>
              <w:t>The majority of the asset is available for normal reasonable use.</w:t>
            </w:r>
          </w:p>
          <w:p w:rsidR="008A0D11" w:rsidRPr="00272CF3" w:rsidRDefault="008A0D11" w:rsidP="009F386F">
            <w:pPr>
              <w:ind w:left="357" w:hanging="357"/>
              <w:jc w:val="both"/>
              <w:rPr>
                <w:rFonts w:cs="Arial"/>
              </w:rPr>
            </w:pPr>
          </w:p>
          <w:p w:rsidR="008A0D11" w:rsidRPr="00272CF3" w:rsidRDefault="008A0D11" w:rsidP="00E72B3C">
            <w:pPr>
              <w:pStyle w:val="ListParagraph"/>
              <w:numPr>
                <w:ilvl w:val="0"/>
                <w:numId w:val="38"/>
              </w:numPr>
              <w:ind w:left="357" w:hanging="357"/>
              <w:jc w:val="both"/>
              <w:rPr>
                <w:rFonts w:cs="Arial"/>
                <w:b/>
              </w:rPr>
            </w:pPr>
            <w:r w:rsidRPr="00272CF3">
              <w:rPr>
                <w:rFonts w:cs="Arial"/>
                <w:b/>
              </w:rPr>
              <w:t>Condition</w:t>
            </w:r>
          </w:p>
          <w:p w:rsidR="008A0D11" w:rsidRPr="00272CF3" w:rsidRDefault="008A0D11" w:rsidP="00E72B3C">
            <w:pPr>
              <w:pStyle w:val="ListParagraph"/>
              <w:numPr>
                <w:ilvl w:val="0"/>
                <w:numId w:val="23"/>
              </w:numPr>
              <w:spacing w:line="276" w:lineRule="auto"/>
              <w:ind w:left="357" w:hanging="357"/>
              <w:jc w:val="both"/>
              <w:rPr>
                <w:rFonts w:cs="Arial"/>
              </w:rPr>
            </w:pPr>
            <w:r w:rsidRPr="00272CF3">
              <w:rPr>
                <w:rFonts w:cs="Arial"/>
              </w:rPr>
              <w:t xml:space="preserve">The condition of the asset is deteriorating but at a reduced rate compared to </w:t>
            </w:r>
            <w:r>
              <w:rPr>
                <w:rFonts w:cs="Arial"/>
              </w:rPr>
              <w:t>POOR</w:t>
            </w:r>
            <w:r w:rsidRPr="00272CF3">
              <w:rPr>
                <w:rFonts w:cs="Arial"/>
              </w:rPr>
              <w:t xml:space="preserve"> standard;</w:t>
            </w:r>
          </w:p>
          <w:p w:rsidR="008A0D11" w:rsidRPr="00272CF3" w:rsidRDefault="008A0D11" w:rsidP="00E72B3C">
            <w:pPr>
              <w:pStyle w:val="ListParagraph"/>
              <w:numPr>
                <w:ilvl w:val="0"/>
                <w:numId w:val="23"/>
              </w:numPr>
              <w:spacing w:line="276" w:lineRule="auto"/>
              <w:ind w:left="357" w:hanging="357"/>
              <w:jc w:val="both"/>
              <w:rPr>
                <w:rFonts w:cs="Arial"/>
              </w:rPr>
            </w:pPr>
            <w:r w:rsidRPr="00272CF3">
              <w:rPr>
                <w:rFonts w:cs="Arial"/>
              </w:rPr>
              <w:t xml:space="preserve">It is assumed that the rate of deterioration over under investment is of the order of 30% i.e. </w:t>
            </w:r>
            <w:r>
              <w:rPr>
                <w:rFonts w:cs="Arial"/>
              </w:rPr>
              <w:t>£</w:t>
            </w:r>
            <w:r w:rsidRPr="00272CF3">
              <w:rPr>
                <w:rFonts w:cs="Arial"/>
              </w:rPr>
              <w:t xml:space="preserve">10m underinvestment results in </w:t>
            </w:r>
            <w:r>
              <w:rPr>
                <w:rFonts w:cs="Arial"/>
              </w:rPr>
              <w:t>£</w:t>
            </w:r>
            <w:r w:rsidRPr="00272CF3">
              <w:rPr>
                <w:rFonts w:cs="Arial"/>
              </w:rPr>
              <w:t>13m of deterioration.</w:t>
            </w:r>
          </w:p>
          <w:p w:rsidR="008A0D11" w:rsidRPr="00272CF3" w:rsidRDefault="008A0D11" w:rsidP="009F386F">
            <w:pPr>
              <w:ind w:left="357" w:hanging="357"/>
              <w:jc w:val="both"/>
              <w:rPr>
                <w:rFonts w:cs="Arial"/>
              </w:rPr>
            </w:pPr>
          </w:p>
          <w:p w:rsidR="008A0D11" w:rsidRPr="00272CF3" w:rsidRDefault="008A0D11" w:rsidP="00E72B3C">
            <w:pPr>
              <w:pStyle w:val="ListParagraph"/>
              <w:numPr>
                <w:ilvl w:val="0"/>
                <w:numId w:val="38"/>
              </w:numPr>
              <w:ind w:left="357" w:hanging="357"/>
              <w:jc w:val="both"/>
              <w:rPr>
                <w:rFonts w:cs="Arial"/>
                <w:b/>
              </w:rPr>
            </w:pPr>
            <w:r w:rsidRPr="00272CF3">
              <w:rPr>
                <w:rFonts w:cs="Arial"/>
                <w:b/>
              </w:rPr>
              <w:t>Asset Value</w:t>
            </w:r>
          </w:p>
          <w:p w:rsidR="008A0D11" w:rsidRPr="00272CF3" w:rsidRDefault="008A0D11" w:rsidP="00E72B3C">
            <w:pPr>
              <w:pStyle w:val="ListParagraph"/>
              <w:numPr>
                <w:ilvl w:val="0"/>
                <w:numId w:val="24"/>
              </w:numPr>
              <w:spacing w:line="276" w:lineRule="auto"/>
              <w:ind w:left="357" w:hanging="357"/>
              <w:jc w:val="both"/>
              <w:rPr>
                <w:rFonts w:cs="Arial"/>
              </w:rPr>
            </w:pPr>
            <w:r w:rsidRPr="00272CF3">
              <w:rPr>
                <w:rFonts w:cs="Arial"/>
              </w:rPr>
              <w:t>The asset value is likely to be de</w:t>
            </w:r>
            <w:r>
              <w:rPr>
                <w:rFonts w:cs="Arial"/>
              </w:rPr>
              <w:t>preciating</w:t>
            </w:r>
            <w:r w:rsidRPr="00272CF3">
              <w:rPr>
                <w:rFonts w:cs="Arial"/>
              </w:rPr>
              <w:t xml:space="preserve"> as a result of minimum investment.</w:t>
            </w:r>
          </w:p>
          <w:p w:rsidR="008A0D11" w:rsidRPr="00AD5DC2" w:rsidRDefault="008A0D11" w:rsidP="009F386F">
            <w:pPr>
              <w:jc w:val="both"/>
              <w:rPr>
                <w:rFonts w:cs="Arial"/>
              </w:rPr>
            </w:pPr>
          </w:p>
          <w:p w:rsidR="008A0D11" w:rsidRPr="00272CF3" w:rsidRDefault="008A0D11" w:rsidP="00E72B3C">
            <w:pPr>
              <w:pStyle w:val="ListParagraph"/>
              <w:numPr>
                <w:ilvl w:val="0"/>
                <w:numId w:val="38"/>
              </w:numPr>
              <w:ind w:left="357" w:hanging="357"/>
              <w:jc w:val="both"/>
              <w:rPr>
                <w:rFonts w:cs="Arial"/>
                <w:b/>
              </w:rPr>
            </w:pPr>
            <w:r w:rsidRPr="00272CF3">
              <w:rPr>
                <w:rFonts w:cs="Arial"/>
                <w:b/>
              </w:rPr>
              <w:t>Public Perception</w:t>
            </w:r>
          </w:p>
          <w:p w:rsidR="008A0D11" w:rsidRPr="00272CF3" w:rsidRDefault="008A0D11" w:rsidP="00E72B3C">
            <w:pPr>
              <w:pStyle w:val="ListParagraph"/>
              <w:numPr>
                <w:ilvl w:val="0"/>
                <w:numId w:val="25"/>
              </w:numPr>
              <w:spacing w:line="276" w:lineRule="auto"/>
              <w:ind w:left="357" w:hanging="357"/>
              <w:jc w:val="both"/>
              <w:rPr>
                <w:rFonts w:cs="Arial"/>
              </w:rPr>
            </w:pPr>
            <w:r w:rsidRPr="00272CF3">
              <w:rPr>
                <w:rFonts w:cs="Arial"/>
              </w:rPr>
              <w:t>Likely to be well aware that the asset is deteriorating and is becoming less available, safe or fit for purpose;</w:t>
            </w:r>
          </w:p>
          <w:p w:rsidR="008A0D11" w:rsidRPr="00272CF3" w:rsidRDefault="008A0D11" w:rsidP="00E72B3C">
            <w:pPr>
              <w:pStyle w:val="ListParagraph"/>
              <w:numPr>
                <w:ilvl w:val="0"/>
                <w:numId w:val="25"/>
              </w:numPr>
              <w:spacing w:line="276" w:lineRule="auto"/>
              <w:ind w:left="357" w:hanging="357"/>
              <w:jc w:val="both"/>
              <w:rPr>
                <w:rFonts w:cs="Arial"/>
              </w:rPr>
            </w:pPr>
            <w:r w:rsidRPr="00272CF3">
              <w:rPr>
                <w:rFonts w:cs="Arial"/>
              </w:rPr>
              <w:t>Members in particular will be facing pressure for improvement and will seek to react to local pressures potentially diluting the impact on overall asset condition;</w:t>
            </w:r>
          </w:p>
          <w:p w:rsidR="008A0D11" w:rsidRPr="00272CF3" w:rsidRDefault="008A0D11" w:rsidP="00E72B3C">
            <w:pPr>
              <w:pStyle w:val="ListParagraph"/>
              <w:numPr>
                <w:ilvl w:val="0"/>
                <w:numId w:val="25"/>
              </w:numPr>
              <w:spacing w:line="276" w:lineRule="auto"/>
              <w:ind w:left="357" w:hanging="357"/>
              <w:jc w:val="both"/>
              <w:rPr>
                <w:rFonts w:cs="Arial"/>
              </w:rPr>
            </w:pPr>
            <w:r w:rsidRPr="00272CF3">
              <w:rPr>
                <w:rFonts w:cs="Arial"/>
              </w:rPr>
              <w:t xml:space="preserve">Complaints and claims would be expected to be high. It is highly likely that members or the public would easily distinguish between </w:t>
            </w:r>
            <w:r>
              <w:rPr>
                <w:rFonts w:cs="Arial"/>
              </w:rPr>
              <w:t>POOR</w:t>
            </w:r>
            <w:r w:rsidRPr="00272CF3">
              <w:rPr>
                <w:rFonts w:cs="Arial"/>
              </w:rPr>
              <w:t xml:space="preserve"> and </w:t>
            </w:r>
            <w:r>
              <w:rPr>
                <w:rFonts w:cs="Arial"/>
              </w:rPr>
              <w:t>ACCEPTABLE</w:t>
            </w:r>
            <w:r w:rsidRPr="00272CF3">
              <w:rPr>
                <w:rFonts w:cs="Arial"/>
              </w:rPr>
              <w:t xml:space="preserve"> standards in their localities.</w:t>
            </w:r>
          </w:p>
          <w:p w:rsidR="008A0D11" w:rsidRPr="00272CF3" w:rsidRDefault="008A0D11" w:rsidP="009F386F">
            <w:pPr>
              <w:jc w:val="both"/>
              <w:rPr>
                <w:rFonts w:cs="Arial"/>
              </w:rPr>
            </w:pPr>
          </w:p>
          <w:p w:rsidR="008A0D11" w:rsidRPr="00272CF3" w:rsidRDefault="008A0D11" w:rsidP="00E72B3C">
            <w:pPr>
              <w:pStyle w:val="ListParagraph"/>
              <w:numPr>
                <w:ilvl w:val="0"/>
                <w:numId w:val="38"/>
              </w:numPr>
              <w:ind w:left="357" w:hanging="357"/>
              <w:jc w:val="both"/>
              <w:rPr>
                <w:rFonts w:cs="Arial"/>
                <w:b/>
              </w:rPr>
            </w:pPr>
            <w:r w:rsidRPr="00272CF3">
              <w:rPr>
                <w:rFonts w:cs="Arial"/>
                <w:b/>
              </w:rPr>
              <w:t>Service Delivery</w:t>
            </w:r>
          </w:p>
          <w:p w:rsidR="008A0D11" w:rsidRPr="00272CF3" w:rsidRDefault="008A0D11" w:rsidP="00E72B3C">
            <w:pPr>
              <w:pStyle w:val="ListParagraph"/>
              <w:numPr>
                <w:ilvl w:val="0"/>
                <w:numId w:val="26"/>
              </w:numPr>
              <w:spacing w:line="276" w:lineRule="auto"/>
              <w:ind w:left="357" w:hanging="357"/>
              <w:jc w:val="both"/>
              <w:rPr>
                <w:rFonts w:cs="Arial"/>
                <w:b/>
              </w:rPr>
            </w:pPr>
            <w:r w:rsidRPr="00272CF3">
              <w:rPr>
                <w:rFonts w:cs="Arial"/>
              </w:rPr>
              <w:t>The princip</w:t>
            </w:r>
            <w:r>
              <w:rPr>
                <w:rFonts w:cs="Arial"/>
              </w:rPr>
              <w:t>le</w:t>
            </w:r>
            <w:r w:rsidRPr="00272CF3">
              <w:rPr>
                <w:rFonts w:cs="Arial"/>
              </w:rPr>
              <w:t xml:space="preserve"> focus is likely to be reactive maintenance rather than </w:t>
            </w:r>
            <w:r>
              <w:rPr>
                <w:rFonts w:cs="Arial"/>
              </w:rPr>
              <w:t>preventative works undertaken at the optimal time;</w:t>
            </w:r>
          </w:p>
          <w:p w:rsidR="008A0D11" w:rsidRPr="00272CF3" w:rsidRDefault="008A0D11" w:rsidP="00E72B3C">
            <w:pPr>
              <w:pStyle w:val="ListParagraph"/>
              <w:numPr>
                <w:ilvl w:val="0"/>
                <w:numId w:val="26"/>
              </w:numPr>
              <w:spacing w:line="276" w:lineRule="auto"/>
              <w:ind w:left="357" w:hanging="357"/>
              <w:jc w:val="both"/>
              <w:rPr>
                <w:rFonts w:cs="Arial"/>
                <w:b/>
              </w:rPr>
            </w:pPr>
            <w:r w:rsidRPr="00272CF3">
              <w:rPr>
                <w:rFonts w:cs="Arial"/>
              </w:rPr>
              <w:t>It will not be possible to address all issues rapidly and a prioritisation of service demands will be required;</w:t>
            </w:r>
          </w:p>
          <w:p w:rsidR="008A0D11" w:rsidRPr="00272CF3" w:rsidRDefault="008A0D11" w:rsidP="00E72B3C">
            <w:pPr>
              <w:pStyle w:val="ListParagraph"/>
              <w:numPr>
                <w:ilvl w:val="0"/>
                <w:numId w:val="26"/>
              </w:numPr>
              <w:spacing w:line="276" w:lineRule="auto"/>
              <w:ind w:left="357" w:hanging="357"/>
              <w:jc w:val="both"/>
              <w:rPr>
                <w:rFonts w:cs="Arial"/>
                <w:b/>
              </w:rPr>
            </w:pPr>
            <w:r w:rsidRPr="00272CF3">
              <w:rPr>
                <w:rFonts w:cs="Arial"/>
              </w:rPr>
              <w:t xml:space="preserve">An increasing backlog of maintenance </w:t>
            </w:r>
            <w:r>
              <w:rPr>
                <w:rFonts w:cs="Arial"/>
              </w:rPr>
              <w:t>needs</w:t>
            </w:r>
            <w:r w:rsidRPr="00272CF3">
              <w:rPr>
                <w:rFonts w:cs="Arial"/>
              </w:rPr>
              <w:t xml:space="preserve"> will exacerbate the service problems and lead to a further chain reaction of deterioration;</w:t>
            </w:r>
          </w:p>
          <w:p w:rsidR="008A0D11" w:rsidRPr="00272CF3" w:rsidRDefault="008A0D11" w:rsidP="00E72B3C">
            <w:pPr>
              <w:pStyle w:val="ListParagraph"/>
              <w:numPr>
                <w:ilvl w:val="0"/>
                <w:numId w:val="26"/>
              </w:numPr>
              <w:spacing w:line="276" w:lineRule="auto"/>
              <w:ind w:left="357" w:hanging="357"/>
              <w:jc w:val="both"/>
              <w:rPr>
                <w:rFonts w:cs="Arial"/>
                <w:b/>
              </w:rPr>
            </w:pPr>
            <w:r w:rsidRPr="00272CF3">
              <w:rPr>
                <w:rFonts w:cs="Arial"/>
              </w:rPr>
              <w:t xml:space="preserve"> De</w:t>
            </w:r>
            <w:r>
              <w:rPr>
                <w:rFonts w:cs="Arial"/>
              </w:rPr>
              <w:t>preciation</w:t>
            </w:r>
            <w:r w:rsidRPr="00272CF3">
              <w:rPr>
                <w:rFonts w:cs="Arial"/>
              </w:rPr>
              <w:t xml:space="preserve"> in the asset value would be expected to exceed the under investment required to achieve a </w:t>
            </w:r>
            <w:r>
              <w:rPr>
                <w:rFonts w:cs="Arial"/>
              </w:rPr>
              <w:t>FAIR</w:t>
            </w:r>
            <w:r w:rsidRPr="00272CF3">
              <w:rPr>
                <w:rFonts w:cs="Arial"/>
              </w:rPr>
              <w:t xml:space="preserve"> standard;</w:t>
            </w:r>
          </w:p>
          <w:p w:rsidR="008A0D11" w:rsidRDefault="008A0D11" w:rsidP="00E72B3C">
            <w:pPr>
              <w:pStyle w:val="ListParagraph"/>
              <w:numPr>
                <w:ilvl w:val="0"/>
                <w:numId w:val="26"/>
              </w:numPr>
              <w:spacing w:line="276" w:lineRule="auto"/>
              <w:ind w:left="357" w:hanging="357"/>
              <w:jc w:val="both"/>
              <w:rPr>
                <w:rFonts w:cs="Arial"/>
              </w:rPr>
            </w:pPr>
            <w:r w:rsidRPr="00272CF3">
              <w:rPr>
                <w:rFonts w:cs="Arial"/>
              </w:rPr>
              <w:t>It would be expected that initially deterioration would outstrip underinvestment by 30% with that proportion tending to increase year on year.</w:t>
            </w:r>
          </w:p>
          <w:p w:rsidR="008A0D11" w:rsidRDefault="008A0D11" w:rsidP="009F386F">
            <w:pPr>
              <w:pStyle w:val="ListParagraph"/>
              <w:ind w:left="0"/>
              <w:jc w:val="both"/>
              <w:rPr>
                <w:rFonts w:cs="Arial"/>
              </w:rPr>
            </w:pPr>
          </w:p>
          <w:p w:rsidR="00193356" w:rsidRDefault="00193356" w:rsidP="009F386F">
            <w:pPr>
              <w:pStyle w:val="ListParagraph"/>
              <w:ind w:left="0"/>
              <w:jc w:val="both"/>
              <w:rPr>
                <w:rFonts w:cs="Arial"/>
              </w:rPr>
            </w:pPr>
          </w:p>
          <w:p w:rsidR="00193356" w:rsidRPr="00272CF3" w:rsidRDefault="00193356" w:rsidP="009F386F">
            <w:pPr>
              <w:pStyle w:val="ListParagraph"/>
              <w:ind w:left="0"/>
              <w:jc w:val="both"/>
              <w:rPr>
                <w:rFonts w:cs="Arial"/>
              </w:rPr>
            </w:pPr>
          </w:p>
        </w:tc>
      </w:tr>
      <w:tr w:rsidR="008A0D11" w:rsidRPr="00272CF3" w:rsidTr="009F386F">
        <w:tc>
          <w:tcPr>
            <w:tcW w:w="1701" w:type="dxa"/>
            <w:shd w:val="clear" w:color="auto" w:fill="FFFF00"/>
          </w:tcPr>
          <w:p w:rsidR="008A0D11" w:rsidRPr="00272CF3" w:rsidRDefault="008A0D11" w:rsidP="009F386F">
            <w:pPr>
              <w:spacing w:line="276" w:lineRule="auto"/>
              <w:jc w:val="both"/>
              <w:rPr>
                <w:rFonts w:cs="Arial"/>
              </w:rPr>
            </w:pPr>
            <w:r>
              <w:rPr>
                <w:rFonts w:cs="Arial"/>
                <w:b/>
                <w:color w:val="000000" w:themeColor="text1"/>
              </w:rPr>
              <w:t>FAIR</w:t>
            </w:r>
          </w:p>
        </w:tc>
        <w:tc>
          <w:tcPr>
            <w:tcW w:w="12643" w:type="dxa"/>
          </w:tcPr>
          <w:p w:rsidR="008A0D11" w:rsidRPr="00272CF3" w:rsidRDefault="008A0D11" w:rsidP="009F386F">
            <w:pPr>
              <w:spacing w:line="276" w:lineRule="auto"/>
              <w:jc w:val="both"/>
              <w:rPr>
                <w:rFonts w:cs="Arial"/>
                <w:b/>
                <w:color w:val="000000" w:themeColor="text1"/>
              </w:rPr>
            </w:pPr>
            <w:r w:rsidRPr="00272CF3">
              <w:rPr>
                <w:rFonts w:cs="Arial"/>
                <w:b/>
                <w:color w:val="000000" w:themeColor="text1"/>
              </w:rPr>
              <w:t>Definition</w:t>
            </w:r>
          </w:p>
          <w:p w:rsidR="008A0D11" w:rsidRPr="00272CF3" w:rsidRDefault="008A0D11" w:rsidP="009F386F">
            <w:pPr>
              <w:spacing w:line="276" w:lineRule="auto"/>
              <w:jc w:val="both"/>
              <w:rPr>
                <w:rFonts w:cs="Arial"/>
              </w:rPr>
            </w:pPr>
            <w:r w:rsidRPr="00272CF3">
              <w:rPr>
                <w:rFonts w:cs="Arial"/>
              </w:rPr>
              <w:t xml:space="preserve">A level of service that </w:t>
            </w:r>
            <w:r>
              <w:rPr>
                <w:rFonts w:cs="Arial"/>
              </w:rPr>
              <w:t xml:space="preserve">generally meets </w:t>
            </w:r>
            <w:r w:rsidRPr="00272CF3">
              <w:rPr>
                <w:rFonts w:cs="Arial"/>
              </w:rPr>
              <w:t xml:space="preserve">statutory needs and the requirements detailed in national </w:t>
            </w:r>
            <w:r>
              <w:rPr>
                <w:rFonts w:cs="Arial"/>
              </w:rPr>
              <w:t>c</w:t>
            </w:r>
            <w:r w:rsidRPr="00272CF3">
              <w:rPr>
                <w:rFonts w:cs="Arial"/>
              </w:rPr>
              <w:t xml:space="preserve">odes of </w:t>
            </w:r>
            <w:r>
              <w:rPr>
                <w:rFonts w:cs="Arial"/>
              </w:rPr>
              <w:t>p</w:t>
            </w:r>
            <w:r w:rsidRPr="00272CF3">
              <w:rPr>
                <w:rFonts w:cs="Arial"/>
              </w:rPr>
              <w:t>ractice</w:t>
            </w:r>
            <w:r w:rsidRPr="00272CF3">
              <w:rPr>
                <w:rFonts w:cs="Arial"/>
                <w:color w:val="000000" w:themeColor="text1"/>
              </w:rPr>
              <w:t xml:space="preserve">.  </w:t>
            </w:r>
            <w:r w:rsidRPr="00272CF3">
              <w:rPr>
                <w:rFonts w:cs="Arial"/>
              </w:rPr>
              <w:t>The risks and consequence</w:t>
            </w:r>
            <w:r>
              <w:rPr>
                <w:rFonts w:cs="Arial"/>
              </w:rPr>
              <w:t>s</w:t>
            </w:r>
            <w:r w:rsidRPr="00272CF3">
              <w:rPr>
                <w:rFonts w:cs="Arial"/>
              </w:rPr>
              <w:t xml:space="preserve"> associated with providing this service level are summarised below</w:t>
            </w:r>
            <w:r>
              <w:rPr>
                <w:rFonts w:cs="Arial"/>
              </w:rPr>
              <w:t xml:space="preserve">: </w:t>
            </w:r>
          </w:p>
          <w:p w:rsidR="008A0D11" w:rsidRPr="00272CF3" w:rsidRDefault="008A0D11" w:rsidP="009F386F">
            <w:pPr>
              <w:jc w:val="both"/>
              <w:rPr>
                <w:rFonts w:cs="Arial"/>
                <w:color w:val="000000" w:themeColor="text1"/>
              </w:rPr>
            </w:pPr>
          </w:p>
          <w:p w:rsidR="008A0D11" w:rsidRPr="00272CF3" w:rsidRDefault="008A0D11" w:rsidP="00E72B3C">
            <w:pPr>
              <w:pStyle w:val="ListParagraph"/>
              <w:numPr>
                <w:ilvl w:val="0"/>
                <w:numId w:val="39"/>
              </w:numPr>
              <w:ind w:left="357" w:hanging="357"/>
              <w:jc w:val="both"/>
              <w:rPr>
                <w:rFonts w:cs="Arial"/>
                <w:b/>
              </w:rPr>
            </w:pPr>
            <w:r w:rsidRPr="00272CF3">
              <w:rPr>
                <w:rFonts w:cs="Arial"/>
                <w:b/>
              </w:rPr>
              <w:t>Legal</w:t>
            </w:r>
          </w:p>
          <w:p w:rsidR="008A0D11" w:rsidRPr="00272CF3" w:rsidRDefault="008A0D11" w:rsidP="00E72B3C">
            <w:pPr>
              <w:pStyle w:val="ListParagraph"/>
              <w:numPr>
                <w:ilvl w:val="0"/>
                <w:numId w:val="28"/>
              </w:numPr>
              <w:spacing w:line="276" w:lineRule="auto"/>
              <w:ind w:left="357" w:hanging="357"/>
              <w:jc w:val="both"/>
              <w:rPr>
                <w:rFonts w:cs="Arial"/>
              </w:rPr>
            </w:pPr>
            <w:r w:rsidRPr="00272CF3">
              <w:rPr>
                <w:rFonts w:cs="Arial"/>
              </w:rPr>
              <w:t>The authority complies with the requirements of the relevant codes of practice in all respects and a robust risk assessment exists</w:t>
            </w:r>
            <w:r>
              <w:rPr>
                <w:rFonts w:cs="Arial"/>
              </w:rPr>
              <w:t>, except where it chooses not to carry one out.  In all such instances any derogation is documented and supported by a robust risk assessment;</w:t>
            </w:r>
          </w:p>
          <w:p w:rsidR="008A0D11" w:rsidRPr="00272CF3" w:rsidRDefault="008A0D11" w:rsidP="00E72B3C">
            <w:pPr>
              <w:pStyle w:val="ListParagraph"/>
              <w:numPr>
                <w:ilvl w:val="0"/>
                <w:numId w:val="28"/>
              </w:numPr>
              <w:spacing w:line="276" w:lineRule="auto"/>
              <w:ind w:left="357" w:hanging="357"/>
              <w:jc w:val="both"/>
              <w:rPr>
                <w:rFonts w:cs="Arial"/>
              </w:rPr>
            </w:pPr>
            <w:r w:rsidRPr="00272CF3">
              <w:rPr>
                <w:rFonts w:cs="Arial"/>
              </w:rPr>
              <w:t>We know what is required and how we deliver the requirements;</w:t>
            </w:r>
          </w:p>
          <w:p w:rsidR="008A0D11" w:rsidRPr="00272CF3" w:rsidRDefault="008A0D11" w:rsidP="00E72B3C">
            <w:pPr>
              <w:pStyle w:val="ListParagraph"/>
              <w:numPr>
                <w:ilvl w:val="0"/>
                <w:numId w:val="28"/>
              </w:numPr>
              <w:spacing w:line="276" w:lineRule="auto"/>
              <w:ind w:left="357" w:hanging="357"/>
              <w:jc w:val="both"/>
              <w:rPr>
                <w:rFonts w:cs="Arial"/>
              </w:rPr>
            </w:pPr>
            <w:r w:rsidRPr="00272CF3">
              <w:rPr>
                <w:rFonts w:cs="Arial"/>
              </w:rPr>
              <w:t>The legal exposure of the authority is reasonably controlled and robust systems are in place to provide supporting evidence of compliance with the code of practice.</w:t>
            </w:r>
          </w:p>
          <w:p w:rsidR="008A0D11" w:rsidRPr="00272CF3" w:rsidRDefault="008A0D11" w:rsidP="009F386F">
            <w:pPr>
              <w:jc w:val="both"/>
              <w:rPr>
                <w:rFonts w:cs="Arial"/>
              </w:rPr>
            </w:pPr>
          </w:p>
          <w:p w:rsidR="008A0D11" w:rsidRPr="00272CF3" w:rsidRDefault="008A0D11" w:rsidP="00E72B3C">
            <w:pPr>
              <w:pStyle w:val="ListParagraph"/>
              <w:numPr>
                <w:ilvl w:val="0"/>
                <w:numId w:val="39"/>
              </w:numPr>
              <w:ind w:left="357" w:hanging="357"/>
              <w:jc w:val="both"/>
              <w:rPr>
                <w:rFonts w:cs="Arial"/>
                <w:b/>
              </w:rPr>
            </w:pPr>
            <w:r w:rsidRPr="00272CF3">
              <w:rPr>
                <w:rFonts w:cs="Arial"/>
                <w:b/>
              </w:rPr>
              <w:t>Safety</w:t>
            </w:r>
          </w:p>
          <w:p w:rsidR="008A0D11" w:rsidRPr="00272CF3" w:rsidRDefault="008A0D11" w:rsidP="00E72B3C">
            <w:pPr>
              <w:pStyle w:val="ListParagraph"/>
              <w:numPr>
                <w:ilvl w:val="0"/>
                <w:numId w:val="29"/>
              </w:numPr>
              <w:spacing w:line="276" w:lineRule="auto"/>
              <w:ind w:left="357" w:hanging="357"/>
              <w:jc w:val="both"/>
              <w:rPr>
                <w:rFonts w:cs="Arial"/>
              </w:rPr>
            </w:pPr>
            <w:r w:rsidRPr="00272CF3">
              <w:rPr>
                <w:rFonts w:cs="Arial"/>
              </w:rPr>
              <w:t>Safety defects are well defined with performance standards for rectification of those defects;</w:t>
            </w:r>
          </w:p>
          <w:p w:rsidR="008A0D11" w:rsidRPr="00272CF3" w:rsidRDefault="008A0D11" w:rsidP="00E72B3C">
            <w:pPr>
              <w:pStyle w:val="ListParagraph"/>
              <w:numPr>
                <w:ilvl w:val="0"/>
                <w:numId w:val="29"/>
              </w:numPr>
              <w:spacing w:line="276" w:lineRule="auto"/>
              <w:ind w:left="357" w:hanging="357"/>
              <w:jc w:val="both"/>
              <w:rPr>
                <w:rFonts w:cs="Arial"/>
              </w:rPr>
            </w:pPr>
            <w:r w:rsidRPr="00272CF3">
              <w:rPr>
                <w:rFonts w:cs="Arial"/>
              </w:rPr>
              <w:t>Systems are in place to ensure proper assessment prioritisation and rectification of defects or temporary arrangements to mitigate risk until a permanent repair is possible;</w:t>
            </w:r>
          </w:p>
          <w:p w:rsidR="008A0D11" w:rsidRPr="00272CF3" w:rsidRDefault="008A0D11" w:rsidP="00E72B3C">
            <w:pPr>
              <w:pStyle w:val="ListParagraph"/>
              <w:numPr>
                <w:ilvl w:val="0"/>
                <w:numId w:val="29"/>
              </w:numPr>
              <w:spacing w:line="276" w:lineRule="auto"/>
              <w:ind w:left="357" w:hanging="357"/>
              <w:jc w:val="both"/>
              <w:rPr>
                <w:rFonts w:cs="Arial"/>
              </w:rPr>
            </w:pPr>
            <w:r w:rsidRPr="00272CF3">
              <w:rPr>
                <w:rFonts w:cs="Arial"/>
              </w:rPr>
              <w:t>We have relevant information to support our delivery to required performance standards. We are proactive in the identification and rectification of those defects;</w:t>
            </w:r>
          </w:p>
          <w:p w:rsidR="008A0D11" w:rsidRPr="00272CF3" w:rsidRDefault="008A0D11" w:rsidP="00E72B3C">
            <w:pPr>
              <w:pStyle w:val="ListParagraph"/>
              <w:numPr>
                <w:ilvl w:val="0"/>
                <w:numId w:val="29"/>
              </w:numPr>
              <w:spacing w:line="276" w:lineRule="auto"/>
              <w:ind w:left="357" w:hanging="357"/>
              <w:jc w:val="both"/>
              <w:rPr>
                <w:rFonts w:cs="Arial"/>
              </w:rPr>
            </w:pPr>
            <w:r w:rsidRPr="00272CF3">
              <w:rPr>
                <w:rFonts w:cs="Arial"/>
              </w:rPr>
              <w:t xml:space="preserve">In all cases </w:t>
            </w:r>
            <w:r w:rsidRPr="00272CF3">
              <w:rPr>
                <w:rFonts w:cs="Arial"/>
                <w:b/>
              </w:rPr>
              <w:t>except</w:t>
            </w:r>
            <w:r w:rsidRPr="00272CF3">
              <w:rPr>
                <w:rFonts w:cs="Arial"/>
              </w:rPr>
              <w:t xml:space="preserve"> where the asset condition was formerly </w:t>
            </w:r>
            <w:r>
              <w:rPr>
                <w:rFonts w:cs="Arial"/>
              </w:rPr>
              <w:t>GOOD</w:t>
            </w:r>
            <w:r w:rsidRPr="00272CF3">
              <w:rPr>
                <w:rFonts w:cs="Arial"/>
              </w:rPr>
              <w:t xml:space="preserve"> or </w:t>
            </w:r>
            <w:r>
              <w:rPr>
                <w:rFonts w:cs="Arial"/>
              </w:rPr>
              <w:t xml:space="preserve">EXCELLENT </w:t>
            </w:r>
            <w:r w:rsidRPr="00272CF3">
              <w:rPr>
                <w:rFonts w:cs="Arial"/>
              </w:rPr>
              <w:t xml:space="preserve">it is </w:t>
            </w:r>
            <w:r w:rsidRPr="00F04ADE">
              <w:rPr>
                <w:rFonts w:cs="Arial"/>
                <w:color w:val="000000" w:themeColor="text1"/>
              </w:rPr>
              <w:t>un</w:t>
            </w:r>
            <w:r w:rsidRPr="00272CF3">
              <w:rPr>
                <w:rFonts w:cs="Arial"/>
              </w:rPr>
              <w:t>likely to result in an increase in the risks associated with safety or legal deficits.</w:t>
            </w:r>
          </w:p>
          <w:p w:rsidR="008A0D11" w:rsidRPr="00272CF3" w:rsidRDefault="008A0D11" w:rsidP="009F386F">
            <w:pPr>
              <w:jc w:val="both"/>
              <w:rPr>
                <w:rFonts w:cs="Arial"/>
              </w:rPr>
            </w:pPr>
          </w:p>
          <w:p w:rsidR="008A0D11" w:rsidRPr="00272CF3" w:rsidRDefault="008A0D11" w:rsidP="00E72B3C">
            <w:pPr>
              <w:pStyle w:val="ListParagraph"/>
              <w:numPr>
                <w:ilvl w:val="0"/>
                <w:numId w:val="39"/>
              </w:numPr>
              <w:ind w:left="357" w:hanging="357"/>
              <w:jc w:val="both"/>
              <w:rPr>
                <w:rFonts w:cs="Arial"/>
                <w:b/>
              </w:rPr>
            </w:pPr>
            <w:r w:rsidRPr="00272CF3">
              <w:rPr>
                <w:rFonts w:cs="Arial"/>
                <w:b/>
              </w:rPr>
              <w:t>Availability</w:t>
            </w:r>
          </w:p>
          <w:p w:rsidR="008A0D11" w:rsidRPr="00272CF3" w:rsidRDefault="008A0D11" w:rsidP="00E72B3C">
            <w:pPr>
              <w:pStyle w:val="ListParagraph"/>
              <w:numPr>
                <w:ilvl w:val="0"/>
                <w:numId w:val="30"/>
              </w:numPr>
              <w:spacing w:line="276" w:lineRule="auto"/>
              <w:ind w:left="357" w:hanging="357"/>
              <w:jc w:val="both"/>
              <w:rPr>
                <w:rFonts w:cs="Arial"/>
              </w:rPr>
            </w:pPr>
            <w:r w:rsidRPr="00272CF3">
              <w:rPr>
                <w:rFonts w:cs="Arial"/>
              </w:rPr>
              <w:t>The majority of the asset is available for normal reasonable use;</w:t>
            </w:r>
          </w:p>
          <w:p w:rsidR="008A0D11" w:rsidRPr="00272CF3" w:rsidRDefault="008A0D11" w:rsidP="00E72B3C">
            <w:pPr>
              <w:pStyle w:val="ListParagraph"/>
              <w:numPr>
                <w:ilvl w:val="0"/>
                <w:numId w:val="30"/>
              </w:numPr>
              <w:spacing w:line="276" w:lineRule="auto"/>
              <w:ind w:left="357" w:hanging="357"/>
              <w:jc w:val="both"/>
              <w:rPr>
                <w:rFonts w:cs="Arial"/>
              </w:rPr>
            </w:pPr>
            <w:r w:rsidRPr="00272CF3">
              <w:rPr>
                <w:rFonts w:cs="Arial"/>
              </w:rPr>
              <w:t xml:space="preserve">Restrictions of the asset are largely planned maintenance </w:t>
            </w:r>
            <w:r>
              <w:rPr>
                <w:rFonts w:cs="Arial"/>
              </w:rPr>
              <w:t xml:space="preserve">activities </w:t>
            </w:r>
            <w:r w:rsidRPr="00272CF3">
              <w:rPr>
                <w:rFonts w:cs="Arial"/>
              </w:rPr>
              <w:t>rather than emergency repairs with the exception of emergency utility repairs.</w:t>
            </w:r>
          </w:p>
          <w:p w:rsidR="008A0D11" w:rsidRPr="003C14A3" w:rsidRDefault="008A0D11" w:rsidP="009F386F">
            <w:pPr>
              <w:jc w:val="both"/>
              <w:rPr>
                <w:rFonts w:cs="Arial"/>
              </w:rPr>
            </w:pPr>
          </w:p>
          <w:p w:rsidR="008A0D11" w:rsidRPr="00272CF3" w:rsidRDefault="008A0D11" w:rsidP="00E72B3C">
            <w:pPr>
              <w:pStyle w:val="ListParagraph"/>
              <w:numPr>
                <w:ilvl w:val="0"/>
                <w:numId w:val="39"/>
              </w:numPr>
              <w:ind w:left="357" w:hanging="357"/>
              <w:jc w:val="both"/>
              <w:rPr>
                <w:rFonts w:cs="Arial"/>
                <w:b/>
              </w:rPr>
            </w:pPr>
            <w:r w:rsidRPr="00272CF3">
              <w:rPr>
                <w:rFonts w:cs="Arial"/>
                <w:b/>
              </w:rPr>
              <w:t>Condition</w:t>
            </w:r>
          </w:p>
          <w:p w:rsidR="008A0D11" w:rsidRPr="00272CF3" w:rsidRDefault="008A0D11" w:rsidP="00E72B3C">
            <w:pPr>
              <w:pStyle w:val="ListParagraph"/>
              <w:numPr>
                <w:ilvl w:val="0"/>
                <w:numId w:val="30"/>
              </w:numPr>
              <w:spacing w:line="276" w:lineRule="auto"/>
              <w:ind w:left="357" w:hanging="357"/>
              <w:jc w:val="both"/>
              <w:rPr>
                <w:rFonts w:cs="Arial"/>
              </w:rPr>
            </w:pPr>
            <w:r w:rsidRPr="00272CF3">
              <w:rPr>
                <w:rFonts w:cs="Arial"/>
              </w:rPr>
              <w:t>The condition of the asset is stabilised or with minor deterioration;</w:t>
            </w:r>
          </w:p>
          <w:p w:rsidR="008A0D11" w:rsidRPr="00272CF3" w:rsidRDefault="008A0D11" w:rsidP="00E72B3C">
            <w:pPr>
              <w:pStyle w:val="ListParagraph"/>
              <w:numPr>
                <w:ilvl w:val="0"/>
                <w:numId w:val="30"/>
              </w:numPr>
              <w:spacing w:line="276" w:lineRule="auto"/>
              <w:ind w:left="357" w:hanging="357"/>
              <w:jc w:val="both"/>
              <w:rPr>
                <w:rFonts w:cs="Arial"/>
              </w:rPr>
            </w:pPr>
            <w:r w:rsidRPr="00272CF3">
              <w:rPr>
                <w:rFonts w:cs="Arial"/>
              </w:rPr>
              <w:t xml:space="preserve">It is assumed that the rate of deterioration </w:t>
            </w:r>
            <w:r>
              <w:rPr>
                <w:rFonts w:cs="Arial"/>
              </w:rPr>
              <w:t xml:space="preserve">is </w:t>
            </w:r>
            <w:r w:rsidRPr="00272CF3">
              <w:rPr>
                <w:rFonts w:cs="Arial"/>
              </w:rPr>
              <w:t>under 10%.</w:t>
            </w:r>
          </w:p>
          <w:p w:rsidR="008A0D11" w:rsidRPr="003C14A3" w:rsidRDefault="008A0D11" w:rsidP="009F386F">
            <w:pPr>
              <w:jc w:val="both"/>
              <w:rPr>
                <w:rFonts w:cs="Arial"/>
              </w:rPr>
            </w:pPr>
          </w:p>
          <w:p w:rsidR="008A0D11" w:rsidRPr="00272CF3" w:rsidRDefault="008A0D11" w:rsidP="00E72B3C">
            <w:pPr>
              <w:pStyle w:val="ListParagraph"/>
              <w:numPr>
                <w:ilvl w:val="0"/>
                <w:numId w:val="39"/>
              </w:numPr>
              <w:ind w:left="357" w:hanging="357"/>
              <w:jc w:val="both"/>
              <w:rPr>
                <w:rFonts w:cs="Arial"/>
                <w:b/>
              </w:rPr>
            </w:pPr>
            <w:r w:rsidRPr="00272CF3">
              <w:rPr>
                <w:rFonts w:cs="Arial"/>
                <w:b/>
              </w:rPr>
              <w:t>Asset Value</w:t>
            </w:r>
          </w:p>
          <w:p w:rsidR="008A0D11" w:rsidRPr="00272CF3" w:rsidRDefault="008A0D11" w:rsidP="00E72B3C">
            <w:pPr>
              <w:pStyle w:val="ListParagraph"/>
              <w:numPr>
                <w:ilvl w:val="0"/>
                <w:numId w:val="30"/>
              </w:numPr>
              <w:spacing w:line="276" w:lineRule="auto"/>
              <w:ind w:left="357" w:hanging="357"/>
              <w:jc w:val="both"/>
              <w:rPr>
                <w:rFonts w:cs="Arial"/>
              </w:rPr>
            </w:pPr>
            <w:r w:rsidRPr="00272CF3">
              <w:rPr>
                <w:rFonts w:cs="Arial"/>
              </w:rPr>
              <w:t>The asset value is likely to be de</w:t>
            </w:r>
            <w:r>
              <w:rPr>
                <w:rFonts w:cs="Arial"/>
              </w:rPr>
              <w:t>preciating</w:t>
            </w:r>
            <w:r w:rsidRPr="00272CF3">
              <w:rPr>
                <w:rFonts w:cs="Arial"/>
              </w:rPr>
              <w:t xml:space="preserve"> as a result of </w:t>
            </w:r>
            <w:r>
              <w:rPr>
                <w:rFonts w:cs="Arial"/>
              </w:rPr>
              <w:t>other external factors</w:t>
            </w:r>
            <w:r w:rsidRPr="00272CF3">
              <w:rPr>
                <w:rFonts w:cs="Arial"/>
              </w:rPr>
              <w:t xml:space="preserve"> rather than under investment.</w:t>
            </w:r>
          </w:p>
          <w:p w:rsidR="008A0D11" w:rsidRPr="003C14A3" w:rsidRDefault="008A0D11" w:rsidP="009F386F">
            <w:pPr>
              <w:jc w:val="both"/>
              <w:rPr>
                <w:rFonts w:cs="Arial"/>
              </w:rPr>
            </w:pPr>
          </w:p>
          <w:p w:rsidR="008A0D11" w:rsidRPr="00272CF3" w:rsidRDefault="008A0D11" w:rsidP="00E72B3C">
            <w:pPr>
              <w:pStyle w:val="ListParagraph"/>
              <w:numPr>
                <w:ilvl w:val="0"/>
                <w:numId w:val="39"/>
              </w:numPr>
              <w:ind w:left="357" w:hanging="357"/>
              <w:jc w:val="both"/>
              <w:rPr>
                <w:rFonts w:cs="Arial"/>
                <w:b/>
              </w:rPr>
            </w:pPr>
            <w:r w:rsidRPr="00272CF3">
              <w:rPr>
                <w:rFonts w:cs="Arial"/>
                <w:b/>
              </w:rPr>
              <w:t>Public Perception</w:t>
            </w:r>
          </w:p>
          <w:p w:rsidR="008A0D11" w:rsidRPr="00781BBC" w:rsidRDefault="008A0D11" w:rsidP="00E72B3C">
            <w:pPr>
              <w:pStyle w:val="ListParagraph"/>
              <w:numPr>
                <w:ilvl w:val="0"/>
                <w:numId w:val="31"/>
              </w:numPr>
              <w:spacing w:line="276" w:lineRule="auto"/>
              <w:ind w:left="357" w:hanging="357"/>
              <w:jc w:val="both"/>
              <w:rPr>
                <w:rFonts w:cs="Arial"/>
                <w:color w:val="000000" w:themeColor="text1"/>
                <w:szCs w:val="24"/>
              </w:rPr>
            </w:pPr>
            <w:r w:rsidRPr="00781BBC">
              <w:rPr>
                <w:rFonts w:cs="Arial"/>
                <w:color w:val="000000" w:themeColor="text1"/>
              </w:rPr>
              <w:t>It is likely that public opinion does not reflect the condition of the asset and the presence of any defects at all would be considered by members of the public to indicate that the asset was in poor condition.</w:t>
            </w:r>
          </w:p>
          <w:p w:rsidR="008A0D11" w:rsidRPr="003C14A3" w:rsidRDefault="008A0D11" w:rsidP="009F386F">
            <w:pPr>
              <w:ind w:left="357" w:hanging="357"/>
              <w:jc w:val="both"/>
              <w:rPr>
                <w:rFonts w:cs="Arial"/>
              </w:rPr>
            </w:pPr>
          </w:p>
          <w:p w:rsidR="008A0D11" w:rsidRPr="00272CF3" w:rsidRDefault="008A0D11" w:rsidP="00E72B3C">
            <w:pPr>
              <w:pStyle w:val="ListParagraph"/>
              <w:numPr>
                <w:ilvl w:val="0"/>
                <w:numId w:val="39"/>
              </w:numPr>
              <w:ind w:left="357" w:hanging="357"/>
              <w:jc w:val="both"/>
              <w:rPr>
                <w:rFonts w:cs="Arial"/>
                <w:b/>
              </w:rPr>
            </w:pPr>
            <w:r w:rsidRPr="00272CF3">
              <w:rPr>
                <w:rFonts w:cs="Arial"/>
                <w:b/>
              </w:rPr>
              <w:t>Service Delivery</w:t>
            </w:r>
          </w:p>
          <w:p w:rsidR="008A0D11" w:rsidRPr="00272CF3" w:rsidRDefault="008A0D11" w:rsidP="00E72B3C">
            <w:pPr>
              <w:pStyle w:val="ListParagraph"/>
              <w:numPr>
                <w:ilvl w:val="0"/>
                <w:numId w:val="31"/>
              </w:numPr>
              <w:spacing w:line="276" w:lineRule="auto"/>
              <w:ind w:left="357" w:hanging="357"/>
              <w:jc w:val="both"/>
              <w:rPr>
                <w:rFonts w:cs="Arial"/>
              </w:rPr>
            </w:pPr>
            <w:r w:rsidRPr="00272CF3">
              <w:rPr>
                <w:rFonts w:cs="Arial"/>
              </w:rPr>
              <w:t xml:space="preserve">A mixture of </w:t>
            </w:r>
            <w:r>
              <w:rPr>
                <w:rFonts w:cs="Arial"/>
              </w:rPr>
              <w:t xml:space="preserve">preventative maintenance undertaken at the optimal time </w:t>
            </w:r>
            <w:r w:rsidRPr="00272CF3">
              <w:rPr>
                <w:rFonts w:cs="Arial"/>
              </w:rPr>
              <w:t xml:space="preserve">and reactive maintenance will be delivered although it is possible that </w:t>
            </w:r>
            <w:r>
              <w:rPr>
                <w:rFonts w:cs="Arial"/>
              </w:rPr>
              <w:t>outside</w:t>
            </w:r>
            <w:r w:rsidRPr="00272CF3">
              <w:rPr>
                <w:rFonts w:cs="Arial"/>
              </w:rPr>
              <w:t xml:space="preserve"> pressure focuses some investment in areas which do not serve to improve the condition of the asset;</w:t>
            </w:r>
          </w:p>
          <w:p w:rsidR="008A0D11" w:rsidRPr="00272CF3" w:rsidRDefault="008A0D11" w:rsidP="00E72B3C">
            <w:pPr>
              <w:pStyle w:val="ListParagraph"/>
              <w:numPr>
                <w:ilvl w:val="0"/>
                <w:numId w:val="31"/>
              </w:numPr>
              <w:spacing w:line="276" w:lineRule="auto"/>
              <w:ind w:left="357" w:hanging="357"/>
              <w:jc w:val="both"/>
              <w:rPr>
                <w:rFonts w:cs="Arial"/>
              </w:rPr>
            </w:pPr>
            <w:r w:rsidRPr="00272CF3">
              <w:rPr>
                <w:rFonts w:cs="Arial"/>
              </w:rPr>
              <w:t xml:space="preserve">The backlog of maintenance </w:t>
            </w:r>
            <w:r>
              <w:rPr>
                <w:rFonts w:cs="Arial"/>
              </w:rPr>
              <w:t>needs</w:t>
            </w:r>
            <w:r w:rsidRPr="00272CF3">
              <w:rPr>
                <w:rFonts w:cs="Arial"/>
              </w:rPr>
              <w:t xml:space="preserve"> will probably be growing but at a reduced rate</w:t>
            </w:r>
            <w:r>
              <w:rPr>
                <w:rFonts w:cs="Arial"/>
              </w:rPr>
              <w:t>,</w:t>
            </w:r>
            <w:r w:rsidRPr="00272CF3">
              <w:rPr>
                <w:rFonts w:cs="Arial"/>
              </w:rPr>
              <w:t xml:space="preserve"> due to any severe weather events and </w:t>
            </w:r>
            <w:r>
              <w:rPr>
                <w:rFonts w:cs="Arial"/>
              </w:rPr>
              <w:t xml:space="preserve">the reduction of </w:t>
            </w:r>
            <w:r w:rsidRPr="00272CF3">
              <w:rPr>
                <w:rFonts w:cs="Arial"/>
              </w:rPr>
              <w:t>our ability to focus on technically driven programmes.</w:t>
            </w:r>
          </w:p>
          <w:p w:rsidR="008A0D11" w:rsidRPr="00272CF3" w:rsidRDefault="008A0D11" w:rsidP="009F386F">
            <w:pPr>
              <w:pStyle w:val="ListParagraph"/>
              <w:ind w:left="0"/>
              <w:jc w:val="both"/>
              <w:rPr>
                <w:rFonts w:cs="Arial"/>
              </w:rPr>
            </w:pPr>
          </w:p>
        </w:tc>
      </w:tr>
      <w:tr w:rsidR="008A0D11" w:rsidRPr="00272CF3" w:rsidTr="00A15F0B">
        <w:tc>
          <w:tcPr>
            <w:tcW w:w="1701" w:type="dxa"/>
            <w:shd w:val="clear" w:color="auto" w:fill="92D050"/>
          </w:tcPr>
          <w:p w:rsidR="008A0D11" w:rsidRPr="00272CF3" w:rsidRDefault="008A0D11" w:rsidP="009F386F">
            <w:pPr>
              <w:spacing w:line="276" w:lineRule="auto"/>
              <w:jc w:val="both"/>
              <w:rPr>
                <w:rFonts w:cs="Arial"/>
              </w:rPr>
            </w:pPr>
            <w:r>
              <w:rPr>
                <w:rFonts w:cs="Arial"/>
                <w:b/>
                <w:color w:val="000000" w:themeColor="text1"/>
              </w:rPr>
              <w:t>G</w:t>
            </w:r>
            <w:r w:rsidRPr="00A15F0B">
              <w:rPr>
                <w:rFonts w:cs="Arial"/>
                <w:b/>
                <w:color w:val="000000" w:themeColor="text1"/>
                <w:shd w:val="clear" w:color="auto" w:fill="92D050"/>
              </w:rPr>
              <w:t>OOD</w:t>
            </w:r>
          </w:p>
        </w:tc>
        <w:tc>
          <w:tcPr>
            <w:tcW w:w="12643" w:type="dxa"/>
          </w:tcPr>
          <w:p w:rsidR="008A0D11" w:rsidRPr="00272CF3" w:rsidRDefault="008A0D11" w:rsidP="009F386F">
            <w:pPr>
              <w:spacing w:line="276" w:lineRule="auto"/>
              <w:jc w:val="both"/>
              <w:rPr>
                <w:rFonts w:cs="Arial"/>
                <w:b/>
                <w:color w:val="000000" w:themeColor="text1"/>
              </w:rPr>
            </w:pPr>
            <w:r w:rsidRPr="00272CF3">
              <w:rPr>
                <w:rFonts w:cs="Arial"/>
                <w:b/>
                <w:color w:val="000000" w:themeColor="text1"/>
              </w:rPr>
              <w:t>Definition</w:t>
            </w:r>
          </w:p>
          <w:p w:rsidR="008A0D11" w:rsidRPr="00272CF3" w:rsidRDefault="008A0D11" w:rsidP="009F386F">
            <w:pPr>
              <w:spacing w:line="276" w:lineRule="auto"/>
              <w:jc w:val="both"/>
              <w:rPr>
                <w:rFonts w:cs="Arial"/>
              </w:rPr>
            </w:pPr>
            <w:r w:rsidRPr="00272CF3">
              <w:rPr>
                <w:rFonts w:cs="Arial"/>
              </w:rPr>
              <w:t xml:space="preserve">A level of service that </w:t>
            </w:r>
            <w:r>
              <w:rPr>
                <w:rFonts w:cs="Arial"/>
              </w:rPr>
              <w:t xml:space="preserve">is </w:t>
            </w:r>
            <w:r w:rsidRPr="00272CF3">
              <w:rPr>
                <w:rFonts w:cs="Arial"/>
              </w:rPr>
              <w:t xml:space="preserve">above statutory needs and the requirements detailed in national </w:t>
            </w:r>
            <w:r>
              <w:rPr>
                <w:rFonts w:cs="Arial"/>
              </w:rPr>
              <w:t>c</w:t>
            </w:r>
            <w:r w:rsidRPr="00272CF3">
              <w:rPr>
                <w:rFonts w:cs="Arial"/>
              </w:rPr>
              <w:t xml:space="preserve">odes of </w:t>
            </w:r>
            <w:r>
              <w:rPr>
                <w:rFonts w:cs="Arial"/>
              </w:rPr>
              <w:t>p</w:t>
            </w:r>
            <w:r w:rsidRPr="00272CF3">
              <w:rPr>
                <w:rFonts w:cs="Arial"/>
              </w:rPr>
              <w:t>ractice</w:t>
            </w:r>
            <w:r w:rsidRPr="00272CF3">
              <w:rPr>
                <w:rFonts w:cs="Arial"/>
                <w:color w:val="000000" w:themeColor="text1"/>
              </w:rPr>
              <w:t xml:space="preserve">.  </w:t>
            </w:r>
            <w:r w:rsidRPr="00272CF3">
              <w:rPr>
                <w:rFonts w:cs="Arial"/>
              </w:rPr>
              <w:t>The risks and consequence</w:t>
            </w:r>
            <w:r>
              <w:rPr>
                <w:rFonts w:cs="Arial"/>
              </w:rPr>
              <w:t>s</w:t>
            </w:r>
            <w:r w:rsidRPr="00272CF3">
              <w:rPr>
                <w:rFonts w:cs="Arial"/>
              </w:rPr>
              <w:t xml:space="preserve"> associated with providing this service level are summarised below</w:t>
            </w:r>
            <w:r>
              <w:rPr>
                <w:rFonts w:cs="Arial"/>
              </w:rPr>
              <w:t>:</w:t>
            </w:r>
          </w:p>
          <w:p w:rsidR="008A0D11" w:rsidRPr="003C14A3" w:rsidRDefault="008A0D11" w:rsidP="009F386F">
            <w:pPr>
              <w:jc w:val="both"/>
              <w:rPr>
                <w:rFonts w:cs="Arial"/>
              </w:rPr>
            </w:pPr>
          </w:p>
          <w:p w:rsidR="008A0D11" w:rsidRPr="00272CF3" w:rsidRDefault="008A0D11" w:rsidP="00E72B3C">
            <w:pPr>
              <w:pStyle w:val="ListParagraph"/>
              <w:numPr>
                <w:ilvl w:val="0"/>
                <w:numId w:val="40"/>
              </w:numPr>
              <w:ind w:left="357" w:hanging="357"/>
              <w:jc w:val="both"/>
              <w:rPr>
                <w:rFonts w:cs="Arial"/>
                <w:b/>
              </w:rPr>
            </w:pPr>
            <w:r w:rsidRPr="00272CF3">
              <w:rPr>
                <w:rFonts w:cs="Arial"/>
                <w:b/>
              </w:rPr>
              <w:t>Legal</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 xml:space="preserve">The authority </w:t>
            </w:r>
            <w:r>
              <w:rPr>
                <w:rFonts w:cs="Arial"/>
              </w:rPr>
              <w:t xml:space="preserve">generally </w:t>
            </w:r>
            <w:r w:rsidRPr="00272CF3">
              <w:rPr>
                <w:rFonts w:cs="Arial"/>
              </w:rPr>
              <w:t>exceeds the requirements of the relevant codes of practice in key respects; any derogation is minor and defensible, documented, and supported by a robust risk assessment;</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We know what is required and how we deliver the requirements;</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 xml:space="preserve">We are </w:t>
            </w:r>
            <w:r>
              <w:rPr>
                <w:rFonts w:cs="Arial"/>
              </w:rPr>
              <w:t xml:space="preserve">able </w:t>
            </w:r>
            <w:r w:rsidRPr="00272CF3">
              <w:rPr>
                <w:rFonts w:cs="Arial"/>
              </w:rPr>
              <w:t>to defend legal claims robustly and develop a strong due diligence defence.</w:t>
            </w:r>
          </w:p>
          <w:p w:rsidR="008A0D11" w:rsidRPr="003C14A3" w:rsidRDefault="008A0D11" w:rsidP="009F386F">
            <w:pPr>
              <w:jc w:val="both"/>
              <w:rPr>
                <w:rFonts w:cs="Arial"/>
              </w:rPr>
            </w:pPr>
          </w:p>
          <w:p w:rsidR="008A0D11" w:rsidRPr="00272CF3" w:rsidRDefault="008A0D11" w:rsidP="00E72B3C">
            <w:pPr>
              <w:pStyle w:val="ListParagraph"/>
              <w:numPr>
                <w:ilvl w:val="0"/>
                <w:numId w:val="40"/>
              </w:numPr>
              <w:ind w:left="357" w:hanging="357"/>
              <w:jc w:val="both"/>
              <w:rPr>
                <w:rFonts w:cs="Arial"/>
                <w:b/>
              </w:rPr>
            </w:pPr>
            <w:r w:rsidRPr="00272CF3">
              <w:rPr>
                <w:rFonts w:cs="Arial"/>
                <w:b/>
              </w:rPr>
              <w:t>Safety</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Safety defects are well defined with performance standards for rectification of those defects;</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Systems are in place to ensure proper assessment prioritisation and rectification of defects or temporary arrangements to mitigate risk until a permanent repair is possible;</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 xml:space="preserve">We have supporting information </w:t>
            </w:r>
            <w:r w:rsidRPr="00F04ADE">
              <w:rPr>
                <w:rFonts w:cs="Arial"/>
                <w:color w:val="000000" w:themeColor="text1"/>
              </w:rPr>
              <w:t>to ensure</w:t>
            </w:r>
            <w:r w:rsidRPr="00272CF3">
              <w:rPr>
                <w:rFonts w:cs="Arial"/>
              </w:rPr>
              <w:t xml:space="preserve"> our delivery to required performance standards;</w:t>
            </w:r>
          </w:p>
          <w:p w:rsidR="008A0D11" w:rsidRPr="00272CF3" w:rsidRDefault="008A0D11" w:rsidP="00E72B3C">
            <w:pPr>
              <w:pStyle w:val="ListParagraph"/>
              <w:numPr>
                <w:ilvl w:val="0"/>
                <w:numId w:val="13"/>
              </w:numPr>
              <w:spacing w:line="276" w:lineRule="auto"/>
              <w:ind w:left="357" w:hanging="357"/>
              <w:jc w:val="both"/>
              <w:rPr>
                <w:rFonts w:cs="Arial"/>
                <w:color w:val="000000" w:themeColor="text1"/>
              </w:rPr>
            </w:pPr>
            <w:r w:rsidRPr="00272CF3">
              <w:rPr>
                <w:rFonts w:cs="Arial"/>
                <w:color w:val="000000" w:themeColor="text1"/>
              </w:rPr>
              <w:t>Should see a reduction in numbers of third party claims against LCC for personal injury and third part</w:t>
            </w:r>
            <w:r>
              <w:rPr>
                <w:rFonts w:cs="Arial"/>
                <w:color w:val="000000" w:themeColor="text1"/>
              </w:rPr>
              <w:t>y</w:t>
            </w:r>
            <w:r w:rsidRPr="00272CF3">
              <w:rPr>
                <w:rFonts w:cs="Arial"/>
                <w:color w:val="000000" w:themeColor="text1"/>
              </w:rPr>
              <w:t xml:space="preserve"> damage.</w:t>
            </w:r>
          </w:p>
          <w:p w:rsidR="008A0D11" w:rsidRPr="003C14A3" w:rsidRDefault="008A0D11" w:rsidP="009F386F">
            <w:pPr>
              <w:jc w:val="both"/>
              <w:rPr>
                <w:rFonts w:cs="Arial"/>
              </w:rPr>
            </w:pPr>
          </w:p>
          <w:p w:rsidR="008A0D11" w:rsidRPr="00272CF3" w:rsidRDefault="008A0D11" w:rsidP="00E72B3C">
            <w:pPr>
              <w:pStyle w:val="ListParagraph"/>
              <w:numPr>
                <w:ilvl w:val="0"/>
                <w:numId w:val="40"/>
              </w:numPr>
              <w:ind w:left="357" w:hanging="357"/>
              <w:jc w:val="both"/>
              <w:rPr>
                <w:rFonts w:cs="Arial"/>
                <w:b/>
              </w:rPr>
            </w:pPr>
            <w:r w:rsidRPr="00272CF3">
              <w:rPr>
                <w:rFonts w:cs="Arial"/>
                <w:b/>
              </w:rPr>
              <w:t>Availability</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The vast majority of the asset is available for normal reasonable use.</w:t>
            </w:r>
          </w:p>
          <w:p w:rsidR="008A0D11" w:rsidRPr="002C25E5" w:rsidRDefault="008A0D11" w:rsidP="009F386F">
            <w:pPr>
              <w:jc w:val="both"/>
              <w:rPr>
                <w:rFonts w:cs="Arial"/>
              </w:rPr>
            </w:pPr>
          </w:p>
          <w:p w:rsidR="008A0D11" w:rsidRPr="00272CF3" w:rsidRDefault="008A0D11" w:rsidP="00E72B3C">
            <w:pPr>
              <w:pStyle w:val="ListParagraph"/>
              <w:numPr>
                <w:ilvl w:val="0"/>
                <w:numId w:val="40"/>
              </w:numPr>
              <w:ind w:left="357" w:hanging="357"/>
              <w:jc w:val="both"/>
              <w:rPr>
                <w:rFonts w:cs="Arial"/>
                <w:b/>
              </w:rPr>
            </w:pPr>
            <w:r w:rsidRPr="00272CF3">
              <w:rPr>
                <w:rFonts w:cs="Arial"/>
                <w:b/>
              </w:rPr>
              <w:t>Condition</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The condition of the asset has been stabilised but significant improvements will take time It is assumed that the rate of deterioration is minimal.</w:t>
            </w:r>
          </w:p>
          <w:p w:rsidR="008A0D11" w:rsidRPr="002C25E5" w:rsidRDefault="008A0D11" w:rsidP="009F386F">
            <w:pPr>
              <w:jc w:val="both"/>
              <w:rPr>
                <w:rFonts w:cs="Arial"/>
              </w:rPr>
            </w:pPr>
          </w:p>
          <w:p w:rsidR="008A0D11" w:rsidRPr="00272CF3" w:rsidRDefault="008A0D11" w:rsidP="00E72B3C">
            <w:pPr>
              <w:pStyle w:val="ListParagraph"/>
              <w:numPr>
                <w:ilvl w:val="0"/>
                <w:numId w:val="40"/>
              </w:numPr>
              <w:ind w:left="357" w:hanging="357"/>
              <w:jc w:val="both"/>
              <w:rPr>
                <w:rFonts w:cs="Arial"/>
                <w:b/>
              </w:rPr>
            </w:pPr>
            <w:r w:rsidRPr="00272CF3">
              <w:rPr>
                <w:rFonts w:cs="Arial"/>
                <w:b/>
              </w:rPr>
              <w:t>Asset Value</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The asset value is maintained as far as is reasonably practical;</w:t>
            </w:r>
          </w:p>
          <w:p w:rsidR="008A0D11" w:rsidRPr="00272CF3" w:rsidRDefault="008A0D11" w:rsidP="00E72B3C">
            <w:pPr>
              <w:pStyle w:val="ListParagraph"/>
              <w:numPr>
                <w:ilvl w:val="0"/>
                <w:numId w:val="32"/>
              </w:numPr>
              <w:spacing w:line="276" w:lineRule="auto"/>
              <w:ind w:left="357" w:hanging="357"/>
              <w:jc w:val="both"/>
              <w:rPr>
                <w:rFonts w:cs="Arial"/>
                <w:color w:val="000000" w:themeColor="text1"/>
              </w:rPr>
            </w:pPr>
            <w:r w:rsidRPr="00272CF3">
              <w:rPr>
                <w:rFonts w:cs="Arial"/>
                <w:color w:val="000000" w:themeColor="text1"/>
              </w:rPr>
              <w:t>Relatively high costs in the short term as intervention measures are used to improve asset condition – results in lower whole life costs.</w:t>
            </w:r>
          </w:p>
          <w:p w:rsidR="008A0D11" w:rsidRPr="002C25E5" w:rsidRDefault="008A0D11" w:rsidP="009F386F">
            <w:pPr>
              <w:jc w:val="both"/>
              <w:rPr>
                <w:rFonts w:cs="Arial"/>
              </w:rPr>
            </w:pPr>
          </w:p>
          <w:p w:rsidR="008A0D11" w:rsidRPr="00272CF3" w:rsidRDefault="008A0D11" w:rsidP="00E72B3C">
            <w:pPr>
              <w:pStyle w:val="ListParagraph"/>
              <w:numPr>
                <w:ilvl w:val="0"/>
                <w:numId w:val="40"/>
              </w:numPr>
              <w:ind w:left="357" w:hanging="357"/>
              <w:jc w:val="both"/>
              <w:rPr>
                <w:rFonts w:cs="Arial"/>
                <w:b/>
              </w:rPr>
            </w:pPr>
            <w:r w:rsidRPr="00272CF3">
              <w:rPr>
                <w:rFonts w:cs="Arial"/>
                <w:b/>
              </w:rPr>
              <w:t>Public Perception</w:t>
            </w:r>
          </w:p>
          <w:p w:rsidR="008A0D11" w:rsidRPr="00272CF3" w:rsidRDefault="008A0D11" w:rsidP="00E72B3C">
            <w:pPr>
              <w:pStyle w:val="ListParagraph"/>
              <w:numPr>
                <w:ilvl w:val="0"/>
                <w:numId w:val="32"/>
              </w:numPr>
              <w:spacing w:line="276" w:lineRule="auto"/>
              <w:ind w:left="357" w:hanging="357"/>
              <w:jc w:val="both"/>
              <w:rPr>
                <w:rFonts w:cs="Arial"/>
              </w:rPr>
            </w:pPr>
            <w:r w:rsidRPr="00272CF3">
              <w:rPr>
                <w:rFonts w:cs="Arial"/>
              </w:rPr>
              <w:t>It is likely that public perception is still focused on the defects present and that it will take significant time before any improvement in perception of the asset is noted.</w:t>
            </w:r>
          </w:p>
          <w:p w:rsidR="008A0D11" w:rsidRDefault="008A0D11" w:rsidP="009F386F">
            <w:pPr>
              <w:jc w:val="both"/>
              <w:rPr>
                <w:rFonts w:cs="Arial"/>
              </w:rPr>
            </w:pPr>
          </w:p>
          <w:p w:rsidR="008A0D11" w:rsidRPr="00272CF3" w:rsidRDefault="008A0D11" w:rsidP="00E72B3C">
            <w:pPr>
              <w:pStyle w:val="ListParagraph"/>
              <w:numPr>
                <w:ilvl w:val="0"/>
                <w:numId w:val="40"/>
              </w:numPr>
              <w:ind w:left="357" w:hanging="357"/>
              <w:jc w:val="both"/>
              <w:rPr>
                <w:rFonts w:cs="Arial"/>
                <w:b/>
              </w:rPr>
            </w:pPr>
            <w:r w:rsidRPr="00272CF3">
              <w:rPr>
                <w:rFonts w:cs="Arial"/>
                <w:b/>
              </w:rPr>
              <w:t>Service Delivery</w:t>
            </w:r>
          </w:p>
          <w:p w:rsidR="008A0D11" w:rsidRPr="00272CF3" w:rsidRDefault="008A0D11" w:rsidP="00E72B3C">
            <w:pPr>
              <w:pStyle w:val="ListParagraph"/>
              <w:numPr>
                <w:ilvl w:val="0"/>
                <w:numId w:val="32"/>
              </w:numPr>
              <w:spacing w:line="276" w:lineRule="auto"/>
              <w:ind w:left="357" w:hanging="357"/>
              <w:jc w:val="both"/>
              <w:rPr>
                <w:rFonts w:cs="Arial"/>
                <w:b/>
                <w:color w:val="000000" w:themeColor="text1"/>
              </w:rPr>
            </w:pPr>
            <w:r w:rsidRPr="00272CF3">
              <w:rPr>
                <w:rFonts w:cs="Arial"/>
              </w:rPr>
              <w:t>A mixture of p</w:t>
            </w:r>
            <w:r>
              <w:rPr>
                <w:rFonts w:cs="Arial"/>
              </w:rPr>
              <w:t>reventative</w:t>
            </w:r>
            <w:r w:rsidRPr="00272CF3">
              <w:rPr>
                <w:rFonts w:cs="Arial"/>
              </w:rPr>
              <w:t xml:space="preserve"> and reactive service delivery models will be used as the backlog of maintenance issues will only be reduced slowly if at all;</w:t>
            </w:r>
          </w:p>
          <w:p w:rsidR="008A0D11" w:rsidRDefault="008A0D11" w:rsidP="00E72B3C">
            <w:pPr>
              <w:pStyle w:val="ListParagraph"/>
              <w:numPr>
                <w:ilvl w:val="0"/>
                <w:numId w:val="16"/>
              </w:numPr>
              <w:spacing w:line="276" w:lineRule="auto"/>
              <w:ind w:left="357" w:hanging="357"/>
              <w:jc w:val="both"/>
              <w:rPr>
                <w:rFonts w:cs="Arial"/>
                <w:color w:val="000000" w:themeColor="text1"/>
              </w:rPr>
            </w:pPr>
            <w:r w:rsidRPr="00272CF3">
              <w:rPr>
                <w:rFonts w:cs="Arial"/>
                <w:color w:val="000000" w:themeColor="text1"/>
              </w:rPr>
              <w:t xml:space="preserve">Increased </w:t>
            </w:r>
            <w:r>
              <w:rPr>
                <w:rFonts w:cs="Arial"/>
                <w:color w:val="000000" w:themeColor="text1"/>
              </w:rPr>
              <w:t>c</w:t>
            </w:r>
            <w:r w:rsidRPr="00272CF3">
              <w:rPr>
                <w:rFonts w:cs="Arial"/>
                <w:color w:val="000000" w:themeColor="text1"/>
              </w:rPr>
              <w:t xml:space="preserve">apital budget </w:t>
            </w:r>
            <w:r>
              <w:rPr>
                <w:rFonts w:cs="Arial"/>
                <w:color w:val="000000" w:themeColor="text1"/>
              </w:rPr>
              <w:t>enables preventative maintenance to be carried out.  Such works are directed at intervening at the right point to restore the asset to an appropriate condition at minimum cost.</w:t>
            </w:r>
          </w:p>
          <w:p w:rsidR="008A0D11" w:rsidRDefault="008A0D11" w:rsidP="009F386F">
            <w:pPr>
              <w:pStyle w:val="ListParagraph"/>
              <w:ind w:left="397"/>
              <w:jc w:val="both"/>
              <w:rPr>
                <w:rFonts w:cs="Arial"/>
                <w:color w:val="000000" w:themeColor="text1"/>
              </w:rPr>
            </w:pPr>
          </w:p>
          <w:p w:rsidR="00193356" w:rsidRDefault="00193356" w:rsidP="009F386F">
            <w:pPr>
              <w:pStyle w:val="ListParagraph"/>
              <w:ind w:left="397"/>
              <w:jc w:val="both"/>
              <w:rPr>
                <w:rFonts w:cs="Arial"/>
                <w:color w:val="000000" w:themeColor="text1"/>
              </w:rPr>
            </w:pPr>
          </w:p>
          <w:p w:rsidR="00193356" w:rsidRPr="00272CF3" w:rsidRDefault="00193356" w:rsidP="009F386F">
            <w:pPr>
              <w:pStyle w:val="ListParagraph"/>
              <w:ind w:left="397"/>
              <w:jc w:val="both"/>
              <w:rPr>
                <w:rFonts w:cs="Arial"/>
                <w:color w:val="000000" w:themeColor="text1"/>
              </w:rPr>
            </w:pPr>
          </w:p>
        </w:tc>
      </w:tr>
      <w:tr w:rsidR="008A0D11" w:rsidRPr="00272CF3" w:rsidTr="009F386F">
        <w:tc>
          <w:tcPr>
            <w:tcW w:w="1701" w:type="dxa"/>
            <w:shd w:val="clear" w:color="auto" w:fill="00B050"/>
          </w:tcPr>
          <w:p w:rsidR="008A0D11" w:rsidRPr="008C65A9" w:rsidRDefault="008A0D11" w:rsidP="009F386F">
            <w:pPr>
              <w:spacing w:line="276" w:lineRule="auto"/>
              <w:jc w:val="both"/>
              <w:rPr>
                <w:rFonts w:cs="Arial"/>
                <w:b/>
                <w:color w:val="FFFFFF" w:themeColor="background1"/>
              </w:rPr>
            </w:pPr>
            <w:r>
              <w:rPr>
                <w:rFonts w:cs="Arial"/>
                <w:b/>
                <w:color w:val="FFFFFF" w:themeColor="background1"/>
              </w:rPr>
              <w:t>EXCELLENT</w:t>
            </w:r>
          </w:p>
        </w:tc>
        <w:tc>
          <w:tcPr>
            <w:tcW w:w="12643" w:type="dxa"/>
          </w:tcPr>
          <w:p w:rsidR="008A0D11" w:rsidRPr="00272CF3" w:rsidRDefault="008A0D11" w:rsidP="009F386F">
            <w:pPr>
              <w:spacing w:line="276" w:lineRule="auto"/>
              <w:jc w:val="both"/>
              <w:rPr>
                <w:rFonts w:cs="Arial"/>
                <w:b/>
                <w:color w:val="000000" w:themeColor="text1"/>
              </w:rPr>
            </w:pPr>
            <w:r w:rsidRPr="00272CF3">
              <w:rPr>
                <w:rFonts w:cs="Arial"/>
                <w:b/>
                <w:color w:val="000000" w:themeColor="text1"/>
              </w:rPr>
              <w:t>Definition</w:t>
            </w:r>
          </w:p>
          <w:p w:rsidR="008A0D11" w:rsidRPr="00272CF3" w:rsidRDefault="008A0D11" w:rsidP="009F386F">
            <w:pPr>
              <w:spacing w:line="276" w:lineRule="auto"/>
              <w:jc w:val="both"/>
              <w:rPr>
                <w:rFonts w:cs="Arial"/>
              </w:rPr>
            </w:pPr>
            <w:r w:rsidRPr="00272CF3">
              <w:rPr>
                <w:rFonts w:cs="Arial"/>
              </w:rPr>
              <w:t xml:space="preserve">A level of service that </w:t>
            </w:r>
            <w:r>
              <w:rPr>
                <w:rFonts w:cs="Arial"/>
              </w:rPr>
              <w:t xml:space="preserve">is well </w:t>
            </w:r>
            <w:r w:rsidRPr="00272CF3">
              <w:rPr>
                <w:rFonts w:cs="Arial"/>
              </w:rPr>
              <w:t xml:space="preserve">above statutory needs and the requirements detailed in national </w:t>
            </w:r>
            <w:r>
              <w:rPr>
                <w:rFonts w:cs="Arial"/>
              </w:rPr>
              <w:t>c</w:t>
            </w:r>
            <w:r w:rsidRPr="00272CF3">
              <w:rPr>
                <w:rFonts w:cs="Arial"/>
              </w:rPr>
              <w:t xml:space="preserve">odes of </w:t>
            </w:r>
            <w:r>
              <w:rPr>
                <w:rFonts w:cs="Arial"/>
              </w:rPr>
              <w:t>p</w:t>
            </w:r>
            <w:r w:rsidRPr="00272CF3">
              <w:rPr>
                <w:rFonts w:cs="Arial"/>
              </w:rPr>
              <w:t>ractice</w:t>
            </w:r>
            <w:r w:rsidRPr="00272CF3">
              <w:rPr>
                <w:rFonts w:cs="Arial"/>
                <w:color w:val="000000" w:themeColor="text1"/>
              </w:rPr>
              <w:t xml:space="preserve">.  Service delivery aimed at maintaining the asset to a high standard.  </w:t>
            </w:r>
            <w:r w:rsidRPr="00272CF3">
              <w:rPr>
                <w:rFonts w:cs="Arial"/>
              </w:rPr>
              <w:t>The risks and consequence</w:t>
            </w:r>
            <w:r>
              <w:rPr>
                <w:rFonts w:cs="Arial"/>
              </w:rPr>
              <w:t>s</w:t>
            </w:r>
            <w:r w:rsidRPr="00272CF3">
              <w:rPr>
                <w:rFonts w:cs="Arial"/>
              </w:rPr>
              <w:t xml:space="preserve"> associated with providing this service level are summarised below</w:t>
            </w:r>
            <w:r>
              <w:rPr>
                <w:rFonts w:cs="Arial"/>
              </w:rPr>
              <w:t>:</w:t>
            </w:r>
          </w:p>
          <w:p w:rsidR="008A0D11" w:rsidRPr="002C25E5" w:rsidRDefault="008A0D11" w:rsidP="009F386F">
            <w:pPr>
              <w:jc w:val="both"/>
              <w:rPr>
                <w:rFonts w:cs="Arial"/>
              </w:rPr>
            </w:pPr>
          </w:p>
          <w:p w:rsidR="008A0D11" w:rsidRPr="00272CF3" w:rsidRDefault="008A0D11" w:rsidP="00E72B3C">
            <w:pPr>
              <w:pStyle w:val="ListParagraph"/>
              <w:numPr>
                <w:ilvl w:val="0"/>
                <w:numId w:val="41"/>
              </w:numPr>
              <w:ind w:left="357" w:hanging="357"/>
              <w:jc w:val="both"/>
              <w:rPr>
                <w:rFonts w:cs="Arial"/>
                <w:b/>
              </w:rPr>
            </w:pPr>
            <w:r w:rsidRPr="00272CF3">
              <w:rPr>
                <w:rFonts w:cs="Arial"/>
                <w:b/>
              </w:rPr>
              <w:t>Legal</w:t>
            </w:r>
          </w:p>
          <w:p w:rsidR="008A0D11" w:rsidRPr="00272CF3" w:rsidRDefault="008A0D11" w:rsidP="00E72B3C">
            <w:pPr>
              <w:pStyle w:val="ListParagraph"/>
              <w:numPr>
                <w:ilvl w:val="0"/>
                <w:numId w:val="16"/>
              </w:numPr>
              <w:spacing w:line="276" w:lineRule="auto"/>
              <w:ind w:left="357" w:hanging="357"/>
              <w:jc w:val="both"/>
              <w:rPr>
                <w:rFonts w:cs="Arial"/>
              </w:rPr>
            </w:pPr>
            <w:r w:rsidRPr="00272CF3">
              <w:rPr>
                <w:rFonts w:cs="Arial"/>
              </w:rPr>
              <w:t>The authority complies with the requirements of the relevant codes of practice in all respects; any minor local derogation</w:t>
            </w:r>
            <w:r>
              <w:rPr>
                <w:rFonts w:cs="Arial"/>
              </w:rPr>
              <w:t>s</w:t>
            </w:r>
            <w:r w:rsidRPr="00272CF3">
              <w:rPr>
                <w:rFonts w:cs="Arial"/>
              </w:rPr>
              <w:t xml:space="preserve"> are documented and supported by a robust risk assessment;</w:t>
            </w:r>
          </w:p>
          <w:p w:rsidR="008A0D11" w:rsidRPr="00272CF3" w:rsidRDefault="008A0D11" w:rsidP="00E72B3C">
            <w:pPr>
              <w:pStyle w:val="ListParagraph"/>
              <w:numPr>
                <w:ilvl w:val="0"/>
                <w:numId w:val="16"/>
              </w:numPr>
              <w:spacing w:line="276" w:lineRule="auto"/>
              <w:ind w:left="357" w:hanging="357"/>
              <w:jc w:val="both"/>
              <w:rPr>
                <w:rFonts w:cs="Arial"/>
              </w:rPr>
            </w:pPr>
            <w:r w:rsidRPr="00272CF3">
              <w:rPr>
                <w:rFonts w:cs="Arial"/>
              </w:rPr>
              <w:t>We know what is required and how we deliver the requirements;</w:t>
            </w:r>
          </w:p>
          <w:p w:rsidR="008A0D11" w:rsidRPr="00272CF3" w:rsidRDefault="008A0D11" w:rsidP="00E72B3C">
            <w:pPr>
              <w:pStyle w:val="ListParagraph"/>
              <w:numPr>
                <w:ilvl w:val="0"/>
                <w:numId w:val="16"/>
              </w:numPr>
              <w:spacing w:line="276" w:lineRule="auto"/>
              <w:ind w:left="357" w:hanging="357"/>
              <w:jc w:val="both"/>
              <w:rPr>
                <w:rFonts w:cs="Arial"/>
              </w:rPr>
            </w:pPr>
            <w:r w:rsidRPr="00272CF3">
              <w:rPr>
                <w:rFonts w:cs="Arial"/>
              </w:rPr>
              <w:t>We further understand future needs and pressures and have a well developed strategic plan for the next five years.</w:t>
            </w:r>
          </w:p>
          <w:p w:rsidR="008A0D11" w:rsidRPr="002C25E5" w:rsidRDefault="008A0D11" w:rsidP="009F386F">
            <w:pPr>
              <w:jc w:val="both"/>
              <w:rPr>
                <w:rFonts w:cs="Arial"/>
              </w:rPr>
            </w:pPr>
          </w:p>
          <w:p w:rsidR="008A0D11" w:rsidRPr="00272CF3" w:rsidRDefault="008A0D11" w:rsidP="00E72B3C">
            <w:pPr>
              <w:pStyle w:val="ListParagraph"/>
              <w:numPr>
                <w:ilvl w:val="0"/>
                <w:numId w:val="41"/>
              </w:numPr>
              <w:ind w:left="357" w:hanging="357"/>
              <w:jc w:val="both"/>
              <w:rPr>
                <w:rFonts w:cs="Arial"/>
                <w:b/>
              </w:rPr>
            </w:pPr>
            <w:r w:rsidRPr="00272CF3">
              <w:rPr>
                <w:rFonts w:cs="Arial"/>
                <w:b/>
              </w:rPr>
              <w:t>Safety</w:t>
            </w:r>
          </w:p>
          <w:p w:rsidR="008A0D11" w:rsidRPr="00272CF3" w:rsidRDefault="008A0D11" w:rsidP="00E72B3C">
            <w:pPr>
              <w:pStyle w:val="ListParagraph"/>
              <w:numPr>
                <w:ilvl w:val="0"/>
                <w:numId w:val="14"/>
              </w:numPr>
              <w:spacing w:line="276" w:lineRule="auto"/>
              <w:ind w:left="357" w:hanging="357"/>
              <w:jc w:val="both"/>
              <w:rPr>
                <w:rFonts w:cs="Arial"/>
                <w:b/>
                <w:color w:val="000000" w:themeColor="text1"/>
              </w:rPr>
            </w:pPr>
            <w:r>
              <w:rPr>
                <w:rFonts w:cs="Arial"/>
                <w:color w:val="000000" w:themeColor="text1"/>
              </w:rPr>
              <w:t>Significant</w:t>
            </w:r>
            <w:r w:rsidRPr="00272CF3">
              <w:rPr>
                <w:rFonts w:cs="Arial"/>
                <w:color w:val="000000" w:themeColor="text1"/>
              </w:rPr>
              <w:t xml:space="preserve"> reduction in claims against LCC for personal injury and third party damage;</w:t>
            </w:r>
          </w:p>
          <w:p w:rsidR="008A0D11" w:rsidRPr="00272CF3" w:rsidRDefault="008A0D11" w:rsidP="00E72B3C">
            <w:pPr>
              <w:pStyle w:val="ListParagraph"/>
              <w:numPr>
                <w:ilvl w:val="0"/>
                <w:numId w:val="33"/>
              </w:numPr>
              <w:spacing w:line="276" w:lineRule="auto"/>
              <w:ind w:left="357" w:hanging="357"/>
              <w:jc w:val="both"/>
              <w:rPr>
                <w:rFonts w:cs="Arial"/>
              </w:rPr>
            </w:pPr>
            <w:r w:rsidRPr="00272CF3">
              <w:rPr>
                <w:rFonts w:cs="Arial"/>
              </w:rPr>
              <w:t>Safety defects are well defined with performance standards for rectification of those defects;</w:t>
            </w:r>
          </w:p>
          <w:p w:rsidR="008A0D11" w:rsidRPr="00272CF3" w:rsidRDefault="008A0D11" w:rsidP="00E72B3C">
            <w:pPr>
              <w:pStyle w:val="ListParagraph"/>
              <w:numPr>
                <w:ilvl w:val="0"/>
                <w:numId w:val="33"/>
              </w:numPr>
              <w:spacing w:line="276" w:lineRule="auto"/>
              <w:ind w:left="357" w:hanging="357"/>
              <w:jc w:val="both"/>
              <w:rPr>
                <w:rFonts w:cs="Arial"/>
              </w:rPr>
            </w:pPr>
            <w:r w:rsidRPr="00272CF3">
              <w:rPr>
                <w:rFonts w:cs="Arial"/>
              </w:rPr>
              <w:t>Systems are in place to ensure proper assessment prioritisation and rectification of defects or temporary arrangements to mitigate risk until a permanent repair is possible;</w:t>
            </w:r>
          </w:p>
          <w:p w:rsidR="008A0D11" w:rsidRPr="00272CF3" w:rsidRDefault="008A0D11" w:rsidP="00E72B3C">
            <w:pPr>
              <w:pStyle w:val="ListParagraph"/>
              <w:numPr>
                <w:ilvl w:val="0"/>
                <w:numId w:val="33"/>
              </w:numPr>
              <w:spacing w:line="276" w:lineRule="auto"/>
              <w:ind w:left="357" w:hanging="357"/>
              <w:jc w:val="both"/>
              <w:rPr>
                <w:rFonts w:cs="Arial"/>
              </w:rPr>
            </w:pPr>
            <w:r w:rsidRPr="00272CF3">
              <w:rPr>
                <w:rFonts w:cs="Arial"/>
              </w:rPr>
              <w:t>We have relevant information to support our delivery to required performance standards</w:t>
            </w:r>
            <w:r w:rsidRPr="00272CF3">
              <w:rPr>
                <w:rFonts w:cs="Arial"/>
                <w:b/>
              </w:rPr>
              <w:t>;</w:t>
            </w:r>
          </w:p>
          <w:p w:rsidR="008A0D11" w:rsidRPr="00272CF3" w:rsidRDefault="008A0D11" w:rsidP="00E72B3C">
            <w:pPr>
              <w:pStyle w:val="ListParagraph"/>
              <w:numPr>
                <w:ilvl w:val="0"/>
                <w:numId w:val="33"/>
              </w:numPr>
              <w:spacing w:line="276" w:lineRule="auto"/>
              <w:ind w:left="357" w:hanging="357"/>
              <w:jc w:val="both"/>
              <w:rPr>
                <w:rFonts w:cs="Arial"/>
              </w:rPr>
            </w:pPr>
            <w:r w:rsidRPr="00272CF3">
              <w:rPr>
                <w:rFonts w:cs="Arial"/>
              </w:rPr>
              <w:t>Performance standards are challenging and reviewed regularly.</w:t>
            </w:r>
          </w:p>
          <w:p w:rsidR="008A0D11" w:rsidRPr="002C25E5" w:rsidRDefault="008A0D11" w:rsidP="009F386F">
            <w:pPr>
              <w:jc w:val="both"/>
              <w:rPr>
                <w:rFonts w:cs="Arial"/>
              </w:rPr>
            </w:pPr>
          </w:p>
          <w:p w:rsidR="008A0D11" w:rsidRPr="00272CF3" w:rsidRDefault="008A0D11" w:rsidP="00E72B3C">
            <w:pPr>
              <w:pStyle w:val="ListParagraph"/>
              <w:numPr>
                <w:ilvl w:val="0"/>
                <w:numId w:val="41"/>
              </w:numPr>
              <w:ind w:left="357" w:hanging="357"/>
              <w:jc w:val="both"/>
              <w:rPr>
                <w:rFonts w:cs="Arial"/>
                <w:b/>
              </w:rPr>
            </w:pPr>
            <w:r w:rsidRPr="00272CF3">
              <w:rPr>
                <w:rFonts w:cs="Arial"/>
                <w:b/>
              </w:rPr>
              <w:t>Availability</w:t>
            </w:r>
          </w:p>
          <w:p w:rsidR="008A0D11" w:rsidRPr="00272CF3" w:rsidRDefault="008A0D11" w:rsidP="00E72B3C">
            <w:pPr>
              <w:pStyle w:val="ListParagraph"/>
              <w:numPr>
                <w:ilvl w:val="0"/>
                <w:numId w:val="34"/>
              </w:numPr>
              <w:spacing w:line="276" w:lineRule="auto"/>
              <w:ind w:left="357" w:hanging="357"/>
              <w:jc w:val="both"/>
              <w:rPr>
                <w:rFonts w:cs="Arial"/>
              </w:rPr>
            </w:pPr>
            <w:r w:rsidRPr="00272CF3">
              <w:rPr>
                <w:rFonts w:cs="Arial"/>
              </w:rPr>
              <w:t>The asset is available for normal reasonable use.</w:t>
            </w:r>
          </w:p>
          <w:p w:rsidR="008A0D11" w:rsidRPr="002C25E5" w:rsidRDefault="008A0D11" w:rsidP="009F386F">
            <w:pPr>
              <w:jc w:val="both"/>
              <w:rPr>
                <w:rFonts w:cs="Arial"/>
              </w:rPr>
            </w:pPr>
          </w:p>
          <w:p w:rsidR="008A0D11" w:rsidRPr="00272CF3" w:rsidRDefault="008A0D11" w:rsidP="00E72B3C">
            <w:pPr>
              <w:pStyle w:val="ListParagraph"/>
              <w:numPr>
                <w:ilvl w:val="0"/>
                <w:numId w:val="41"/>
              </w:numPr>
              <w:ind w:left="357" w:hanging="357"/>
              <w:jc w:val="both"/>
              <w:rPr>
                <w:rFonts w:cs="Arial"/>
                <w:b/>
                <w:color w:val="000000" w:themeColor="text1"/>
              </w:rPr>
            </w:pPr>
            <w:r w:rsidRPr="00272CF3">
              <w:rPr>
                <w:rFonts w:cs="Arial"/>
                <w:b/>
                <w:color w:val="000000" w:themeColor="text1"/>
              </w:rPr>
              <w:t>Condition</w:t>
            </w:r>
          </w:p>
          <w:p w:rsidR="008A0D11" w:rsidRPr="00272CF3" w:rsidRDefault="008A0D11" w:rsidP="00E72B3C">
            <w:pPr>
              <w:pStyle w:val="ListParagraph"/>
              <w:numPr>
                <w:ilvl w:val="0"/>
                <w:numId w:val="34"/>
              </w:numPr>
              <w:spacing w:line="276" w:lineRule="auto"/>
              <w:ind w:left="357" w:hanging="357"/>
              <w:jc w:val="both"/>
              <w:rPr>
                <w:rFonts w:cs="Arial"/>
              </w:rPr>
            </w:pPr>
            <w:r w:rsidRPr="00272CF3">
              <w:rPr>
                <w:rFonts w:cs="Arial"/>
              </w:rPr>
              <w:t>The condition of the asset is improving strongly with asset value increasing;</w:t>
            </w:r>
          </w:p>
          <w:p w:rsidR="008A0D11" w:rsidRPr="00272CF3" w:rsidRDefault="008A0D11" w:rsidP="00E72B3C">
            <w:pPr>
              <w:pStyle w:val="ListParagraph"/>
              <w:numPr>
                <w:ilvl w:val="0"/>
                <w:numId w:val="34"/>
              </w:numPr>
              <w:spacing w:line="276" w:lineRule="auto"/>
              <w:ind w:left="357" w:hanging="357"/>
              <w:jc w:val="both"/>
              <w:rPr>
                <w:rFonts w:cs="Arial"/>
              </w:rPr>
            </w:pPr>
            <w:r w:rsidRPr="00272CF3">
              <w:rPr>
                <w:rFonts w:cs="Arial"/>
              </w:rPr>
              <w:t>It is increasingly possible to flexibly assign resources to selected programmes each year as the relative deterioration is marginal year on year.</w:t>
            </w:r>
          </w:p>
          <w:p w:rsidR="008A0D11" w:rsidRPr="002C25E5" w:rsidRDefault="008A0D11" w:rsidP="009F386F">
            <w:pPr>
              <w:jc w:val="both"/>
              <w:rPr>
                <w:rFonts w:cs="Arial"/>
              </w:rPr>
            </w:pPr>
          </w:p>
          <w:p w:rsidR="008A0D11" w:rsidRPr="00272CF3" w:rsidRDefault="008A0D11" w:rsidP="00E72B3C">
            <w:pPr>
              <w:pStyle w:val="ListParagraph"/>
              <w:numPr>
                <w:ilvl w:val="0"/>
                <w:numId w:val="41"/>
              </w:numPr>
              <w:ind w:left="357" w:hanging="357"/>
              <w:jc w:val="both"/>
              <w:rPr>
                <w:rFonts w:cs="Arial"/>
                <w:b/>
              </w:rPr>
            </w:pPr>
            <w:r w:rsidRPr="00272CF3">
              <w:rPr>
                <w:rFonts w:cs="Arial"/>
                <w:b/>
              </w:rPr>
              <w:t>Asset Value</w:t>
            </w:r>
          </w:p>
          <w:p w:rsidR="008A0D11" w:rsidRPr="00272CF3" w:rsidRDefault="008A0D11" w:rsidP="00E72B3C">
            <w:pPr>
              <w:pStyle w:val="ListParagraph"/>
              <w:numPr>
                <w:ilvl w:val="0"/>
                <w:numId w:val="35"/>
              </w:numPr>
              <w:spacing w:line="276" w:lineRule="auto"/>
              <w:ind w:left="357" w:hanging="357"/>
              <w:jc w:val="both"/>
              <w:rPr>
                <w:rFonts w:cs="Arial"/>
              </w:rPr>
            </w:pPr>
            <w:r>
              <w:rPr>
                <w:rFonts w:cs="Arial"/>
              </w:rPr>
              <w:t>The investment required to bring the asset to an as new condition is reducing</w:t>
            </w:r>
            <w:r w:rsidRPr="00272CF3">
              <w:rPr>
                <w:rFonts w:cs="Arial"/>
              </w:rPr>
              <w:t>;</w:t>
            </w:r>
          </w:p>
          <w:p w:rsidR="008A0D11" w:rsidRPr="00272CF3" w:rsidRDefault="008A0D11" w:rsidP="00E72B3C">
            <w:pPr>
              <w:pStyle w:val="ListParagraph"/>
              <w:numPr>
                <w:ilvl w:val="0"/>
                <w:numId w:val="35"/>
              </w:numPr>
              <w:spacing w:line="276" w:lineRule="auto"/>
              <w:ind w:left="357" w:hanging="357"/>
              <w:jc w:val="both"/>
              <w:rPr>
                <w:rFonts w:cs="Arial"/>
                <w:color w:val="000000" w:themeColor="text1"/>
              </w:rPr>
            </w:pPr>
            <w:r w:rsidRPr="00272CF3">
              <w:rPr>
                <w:rFonts w:cs="Arial"/>
                <w:color w:val="000000" w:themeColor="text1"/>
              </w:rPr>
              <w:t>High costs in the short term as intervention measures are used to improve asset condition – results in lowest whole life costs.</w:t>
            </w:r>
          </w:p>
          <w:p w:rsidR="008A0D11" w:rsidRPr="002C25E5" w:rsidRDefault="008A0D11" w:rsidP="009F386F">
            <w:pPr>
              <w:jc w:val="both"/>
              <w:rPr>
                <w:rFonts w:cs="Arial"/>
              </w:rPr>
            </w:pPr>
          </w:p>
          <w:p w:rsidR="008A0D11" w:rsidRPr="00272CF3" w:rsidRDefault="008A0D11" w:rsidP="00E72B3C">
            <w:pPr>
              <w:pStyle w:val="ListParagraph"/>
              <w:numPr>
                <w:ilvl w:val="0"/>
                <w:numId w:val="41"/>
              </w:numPr>
              <w:ind w:left="357" w:hanging="357"/>
              <w:jc w:val="both"/>
              <w:rPr>
                <w:rFonts w:cs="Arial"/>
                <w:b/>
              </w:rPr>
            </w:pPr>
            <w:r w:rsidRPr="00272CF3">
              <w:rPr>
                <w:rFonts w:cs="Arial"/>
                <w:b/>
              </w:rPr>
              <w:t>Public Perception</w:t>
            </w:r>
          </w:p>
          <w:p w:rsidR="008A0D11" w:rsidRPr="00272CF3" w:rsidRDefault="008A0D11" w:rsidP="00E72B3C">
            <w:pPr>
              <w:pStyle w:val="ListParagraph"/>
              <w:numPr>
                <w:ilvl w:val="0"/>
                <w:numId w:val="35"/>
              </w:numPr>
              <w:spacing w:line="276" w:lineRule="auto"/>
              <w:ind w:left="357" w:hanging="357"/>
              <w:jc w:val="both"/>
              <w:rPr>
                <w:rFonts w:cs="Arial"/>
              </w:rPr>
            </w:pPr>
            <w:r w:rsidRPr="00272CF3">
              <w:rPr>
                <w:rFonts w:cs="Arial"/>
              </w:rPr>
              <w:t>Generally public perception of the condition of the strategic and residential road network would be expected to be positive however the response to the few defects remaining will be disproportionate as expectations will steadily increase;</w:t>
            </w:r>
          </w:p>
          <w:p w:rsidR="008A0D11" w:rsidRPr="00272CF3" w:rsidRDefault="008A0D11" w:rsidP="00E72B3C">
            <w:pPr>
              <w:pStyle w:val="ListParagraph"/>
              <w:numPr>
                <w:ilvl w:val="0"/>
                <w:numId w:val="35"/>
              </w:numPr>
              <w:spacing w:line="276" w:lineRule="auto"/>
              <w:ind w:left="357" w:hanging="357"/>
              <w:jc w:val="both"/>
              <w:rPr>
                <w:rFonts w:cs="Arial"/>
              </w:rPr>
            </w:pPr>
            <w:r w:rsidRPr="00272CF3">
              <w:rPr>
                <w:rFonts w:cs="Arial"/>
              </w:rPr>
              <w:t xml:space="preserve"> The majority of the asset improvement</w:t>
            </w:r>
            <w:r>
              <w:rPr>
                <w:rFonts w:cs="Arial"/>
              </w:rPr>
              <w:t>s</w:t>
            </w:r>
            <w:r w:rsidRPr="00272CF3">
              <w:rPr>
                <w:rFonts w:cs="Arial"/>
              </w:rPr>
              <w:t xml:space="preserve"> will be less visible and the general public and members would not be expected to notice improved drainage, improving lighting column condition or improving brid</w:t>
            </w:r>
            <w:r>
              <w:rPr>
                <w:rFonts w:cs="Arial"/>
              </w:rPr>
              <w:t>g</w:t>
            </w:r>
            <w:r w:rsidRPr="00272CF3">
              <w:rPr>
                <w:rFonts w:cs="Arial"/>
              </w:rPr>
              <w:t>e condition.</w:t>
            </w:r>
          </w:p>
          <w:p w:rsidR="008A0D11" w:rsidRPr="002C25E5" w:rsidRDefault="008A0D11" w:rsidP="009F386F">
            <w:pPr>
              <w:jc w:val="both"/>
              <w:rPr>
                <w:rFonts w:cs="Arial"/>
              </w:rPr>
            </w:pPr>
          </w:p>
          <w:p w:rsidR="008A0D11" w:rsidRPr="00272CF3" w:rsidRDefault="008A0D11" w:rsidP="00E72B3C">
            <w:pPr>
              <w:pStyle w:val="ListParagraph"/>
              <w:numPr>
                <w:ilvl w:val="0"/>
                <w:numId w:val="41"/>
              </w:numPr>
              <w:ind w:left="357" w:hanging="357"/>
              <w:jc w:val="both"/>
              <w:rPr>
                <w:rFonts w:cs="Arial"/>
                <w:b/>
                <w:color w:val="000000" w:themeColor="text1"/>
              </w:rPr>
            </w:pPr>
            <w:r w:rsidRPr="00272CF3">
              <w:rPr>
                <w:rFonts w:cs="Arial"/>
                <w:b/>
                <w:color w:val="000000" w:themeColor="text1"/>
              </w:rPr>
              <w:t>Service Delivery</w:t>
            </w:r>
          </w:p>
          <w:p w:rsidR="008A0D11" w:rsidRPr="00E30724" w:rsidRDefault="008A0D11" w:rsidP="00E72B3C">
            <w:pPr>
              <w:pStyle w:val="ListParagraph"/>
              <w:numPr>
                <w:ilvl w:val="0"/>
                <w:numId w:val="36"/>
              </w:numPr>
              <w:spacing w:line="276" w:lineRule="auto"/>
              <w:ind w:left="357" w:hanging="357"/>
              <w:jc w:val="both"/>
              <w:rPr>
                <w:rFonts w:cs="Arial"/>
                <w:color w:val="000000" w:themeColor="text1"/>
              </w:rPr>
            </w:pPr>
            <w:r w:rsidRPr="00E30724">
              <w:rPr>
                <w:rFonts w:cs="Arial"/>
              </w:rPr>
              <w:t>The principle service delivery is focused on preventative maintenance at the optimal time in an assets life cycle which will effectively reduce the average cost per scheme, particularly in respect of roads, and in turn fuel more rapidly improving condition;</w:t>
            </w:r>
          </w:p>
          <w:p w:rsidR="008A0D11" w:rsidRPr="0096705F" w:rsidRDefault="008A0D11" w:rsidP="00E72B3C">
            <w:pPr>
              <w:pStyle w:val="ListParagraph"/>
              <w:numPr>
                <w:ilvl w:val="0"/>
                <w:numId w:val="36"/>
              </w:numPr>
              <w:spacing w:line="276" w:lineRule="auto"/>
              <w:ind w:left="357" w:hanging="357"/>
              <w:jc w:val="both"/>
              <w:rPr>
                <w:rFonts w:cs="Arial"/>
              </w:rPr>
            </w:pPr>
            <w:r w:rsidRPr="00272CF3">
              <w:rPr>
                <w:rFonts w:cs="Arial"/>
                <w:color w:val="000000" w:themeColor="text1"/>
              </w:rPr>
              <w:t>Operating at a sustainable level using sustainable methods.</w:t>
            </w:r>
          </w:p>
          <w:p w:rsidR="008A0D11" w:rsidRPr="00272CF3" w:rsidRDefault="008A0D11" w:rsidP="009F386F">
            <w:pPr>
              <w:pStyle w:val="ListParagraph"/>
              <w:spacing w:line="276" w:lineRule="auto"/>
              <w:ind w:left="397"/>
              <w:jc w:val="both"/>
              <w:rPr>
                <w:rFonts w:cs="Arial"/>
              </w:rPr>
            </w:pPr>
          </w:p>
        </w:tc>
      </w:tr>
    </w:tbl>
    <w:p w:rsidR="008A0D11" w:rsidRDefault="008A0D11" w:rsidP="008A0D11">
      <w:pPr>
        <w:spacing w:after="0"/>
        <w:jc w:val="both"/>
      </w:pPr>
    </w:p>
    <w:p w:rsidR="004E2C43" w:rsidRDefault="004E2C43" w:rsidP="008A0D11">
      <w:pPr>
        <w:spacing w:after="0"/>
        <w:jc w:val="both"/>
      </w:pPr>
    </w:p>
    <w:p w:rsidR="004E2C43" w:rsidRDefault="004E2C43" w:rsidP="008A0D11">
      <w:pPr>
        <w:spacing w:after="0"/>
        <w:jc w:val="both"/>
      </w:pPr>
    </w:p>
    <w:p w:rsidR="004E2C43" w:rsidRDefault="004E2C43">
      <w:pPr>
        <w:rPr>
          <w:b/>
        </w:rPr>
      </w:pPr>
      <w:r>
        <w:rPr>
          <w:b/>
        </w:rPr>
        <w:br w:type="page"/>
      </w:r>
    </w:p>
    <w:p w:rsidR="008A0D11" w:rsidRDefault="00E63533" w:rsidP="00E63533">
      <w:pPr>
        <w:spacing w:after="0"/>
        <w:jc w:val="right"/>
        <w:rPr>
          <w:b/>
        </w:rPr>
      </w:pPr>
      <w:r w:rsidRPr="00E63533">
        <w:rPr>
          <w:b/>
        </w:rPr>
        <w:t>APPENDIX 2</w:t>
      </w:r>
    </w:p>
    <w:p w:rsidR="004E2C43" w:rsidRDefault="004E2C43" w:rsidP="004E2C43">
      <w:pPr>
        <w:spacing w:after="0"/>
        <w:rPr>
          <w:b/>
        </w:rPr>
      </w:pPr>
      <w:r>
        <w:rPr>
          <w:b/>
        </w:rPr>
        <w:t>Asset Quantities</w:t>
      </w:r>
    </w:p>
    <w:p w:rsidR="004E2C43" w:rsidRDefault="004E2C43" w:rsidP="004E2C43">
      <w:pPr>
        <w:spacing w:after="0"/>
        <w:rPr>
          <w:b/>
        </w:rPr>
      </w:pPr>
    </w:p>
    <w:p w:rsidR="00E63533" w:rsidRDefault="00E63533" w:rsidP="00E63533">
      <w:pPr>
        <w:spacing w:after="0"/>
      </w:pPr>
      <w:r w:rsidRPr="00E63533">
        <w:t>Provided below is a summary of the number of items we are currently maintaining per asset type</w:t>
      </w:r>
      <w:r w:rsidR="004E2C43">
        <w:t>.</w:t>
      </w:r>
    </w:p>
    <w:p w:rsidR="00E63533" w:rsidRDefault="00E63533" w:rsidP="004E2C43">
      <w:pPr>
        <w:spacing w:after="0"/>
        <w:rPr>
          <w:b/>
        </w:rPr>
      </w:pPr>
    </w:p>
    <w:tbl>
      <w:tblPr>
        <w:tblStyle w:val="TableGrid"/>
        <w:tblW w:w="0" w:type="auto"/>
        <w:jc w:val="center"/>
        <w:tblLook w:val="04A0" w:firstRow="1" w:lastRow="0" w:firstColumn="1" w:lastColumn="0" w:noHBand="0" w:noVBand="1"/>
      </w:tblPr>
      <w:tblGrid>
        <w:gridCol w:w="3912"/>
        <w:gridCol w:w="1984"/>
        <w:gridCol w:w="2608"/>
      </w:tblGrid>
      <w:tr w:rsidR="00E63533" w:rsidTr="00DA2828">
        <w:trPr>
          <w:trHeight w:val="567"/>
          <w:jc w:val="center"/>
        </w:trPr>
        <w:tc>
          <w:tcPr>
            <w:tcW w:w="3912" w:type="dxa"/>
            <w:shd w:val="clear" w:color="auto" w:fill="FDE9D9" w:themeFill="accent6" w:themeFillTint="33"/>
            <w:vAlign w:val="center"/>
          </w:tcPr>
          <w:p w:rsidR="00E63533" w:rsidRPr="00E63533" w:rsidRDefault="00C933C3" w:rsidP="00DA2828">
            <w:pPr>
              <w:jc w:val="center"/>
              <w:rPr>
                <w:b/>
                <w:szCs w:val="24"/>
              </w:rPr>
            </w:pPr>
            <w:r>
              <w:rPr>
                <w:b/>
                <w:szCs w:val="24"/>
              </w:rPr>
              <w:t xml:space="preserve">Adopted </w:t>
            </w:r>
            <w:r w:rsidR="00E63533" w:rsidRPr="00E63533">
              <w:rPr>
                <w:b/>
                <w:szCs w:val="24"/>
              </w:rPr>
              <w:t>Asset Type</w:t>
            </w:r>
          </w:p>
        </w:tc>
        <w:tc>
          <w:tcPr>
            <w:tcW w:w="1984" w:type="dxa"/>
            <w:shd w:val="clear" w:color="auto" w:fill="FDE9D9" w:themeFill="accent6" w:themeFillTint="33"/>
            <w:vAlign w:val="center"/>
          </w:tcPr>
          <w:p w:rsidR="00E63533" w:rsidRPr="00E63533" w:rsidRDefault="00E63533" w:rsidP="00DA2828">
            <w:pPr>
              <w:jc w:val="center"/>
              <w:rPr>
                <w:b/>
              </w:rPr>
            </w:pPr>
            <w:r w:rsidRPr="00E63533">
              <w:rPr>
                <w:b/>
              </w:rPr>
              <w:t>Asset Quantity</w:t>
            </w:r>
          </w:p>
        </w:tc>
        <w:tc>
          <w:tcPr>
            <w:tcW w:w="2608" w:type="dxa"/>
            <w:shd w:val="clear" w:color="auto" w:fill="FDE9D9" w:themeFill="accent6" w:themeFillTint="33"/>
            <w:vAlign w:val="center"/>
          </w:tcPr>
          <w:p w:rsidR="00E63533" w:rsidRPr="00E63533" w:rsidRDefault="00E63533" w:rsidP="00DA2828">
            <w:pPr>
              <w:jc w:val="center"/>
              <w:rPr>
                <w:b/>
              </w:rPr>
            </w:pPr>
            <w:r w:rsidRPr="00E63533">
              <w:rPr>
                <w:b/>
              </w:rPr>
              <w:t>Unit of Measurement</w:t>
            </w:r>
          </w:p>
        </w:tc>
      </w:tr>
      <w:tr w:rsidR="00282885" w:rsidTr="00DA2828">
        <w:trPr>
          <w:jc w:val="center"/>
        </w:trPr>
        <w:tc>
          <w:tcPr>
            <w:tcW w:w="3912" w:type="dxa"/>
            <w:vAlign w:val="center"/>
          </w:tcPr>
          <w:p w:rsidR="00282885" w:rsidRPr="00E63533" w:rsidRDefault="00282885" w:rsidP="00DA2828">
            <w:pPr>
              <w:jc w:val="center"/>
              <w:rPr>
                <w:rFonts w:eastAsia="Times New Roman" w:cs="Arial"/>
                <w:color w:val="000000" w:themeColor="text1"/>
                <w:szCs w:val="24"/>
                <w:lang w:eastAsia="en-GB"/>
              </w:rPr>
            </w:pPr>
            <w:r>
              <w:rPr>
                <w:rFonts w:eastAsia="Times New Roman" w:cs="Arial"/>
                <w:color w:val="000000" w:themeColor="text1"/>
                <w:szCs w:val="24"/>
                <w:lang w:eastAsia="en-GB"/>
              </w:rPr>
              <w:t>County Motorways</w:t>
            </w:r>
          </w:p>
        </w:tc>
        <w:tc>
          <w:tcPr>
            <w:tcW w:w="1984" w:type="dxa"/>
            <w:vAlign w:val="center"/>
          </w:tcPr>
          <w:p w:rsidR="00282885" w:rsidRDefault="00C933C3" w:rsidP="00DA2828">
            <w:pPr>
              <w:jc w:val="center"/>
            </w:pPr>
            <w:r>
              <w:t>26</w:t>
            </w:r>
          </w:p>
        </w:tc>
        <w:tc>
          <w:tcPr>
            <w:tcW w:w="2608" w:type="dxa"/>
            <w:vAlign w:val="center"/>
          </w:tcPr>
          <w:p w:rsidR="00282885" w:rsidRDefault="00C933C3" w:rsidP="00DA2828">
            <w:pPr>
              <w:jc w:val="center"/>
            </w:pPr>
            <w:r>
              <w:t>km</w:t>
            </w:r>
          </w:p>
        </w:tc>
      </w:tr>
      <w:tr w:rsidR="00E63533" w:rsidTr="00DA2828">
        <w:trPr>
          <w:jc w:val="center"/>
        </w:trPr>
        <w:tc>
          <w:tcPr>
            <w:tcW w:w="3912" w:type="dxa"/>
            <w:vAlign w:val="center"/>
          </w:tcPr>
          <w:p w:rsidR="00E63533" w:rsidRPr="00E63533" w:rsidRDefault="00E63533" w:rsidP="00DA2828">
            <w:pPr>
              <w:jc w:val="center"/>
              <w:rPr>
                <w:rFonts w:eastAsia="Times New Roman" w:cs="Arial"/>
                <w:color w:val="000000"/>
                <w:szCs w:val="24"/>
                <w:lang w:eastAsia="en-GB"/>
              </w:rPr>
            </w:pPr>
            <w:r w:rsidRPr="00E63533">
              <w:rPr>
                <w:rFonts w:eastAsia="Times New Roman" w:cs="Arial"/>
                <w:color w:val="000000" w:themeColor="text1"/>
                <w:szCs w:val="24"/>
                <w:lang w:eastAsia="en-GB"/>
              </w:rPr>
              <w:t>A Roads</w:t>
            </w:r>
          </w:p>
        </w:tc>
        <w:tc>
          <w:tcPr>
            <w:tcW w:w="1984" w:type="dxa"/>
            <w:vAlign w:val="center"/>
          </w:tcPr>
          <w:p w:rsidR="00E63533" w:rsidRDefault="00C933C3" w:rsidP="00DA2828">
            <w:pPr>
              <w:jc w:val="center"/>
            </w:pPr>
            <w:r>
              <w:t>841</w:t>
            </w:r>
          </w:p>
        </w:tc>
        <w:tc>
          <w:tcPr>
            <w:tcW w:w="2608" w:type="dxa"/>
            <w:vAlign w:val="center"/>
          </w:tcPr>
          <w:p w:rsidR="00E63533" w:rsidRDefault="00E63533" w:rsidP="00DA2828">
            <w:pPr>
              <w:jc w:val="center"/>
            </w:pPr>
            <w:r>
              <w:t>k</w:t>
            </w:r>
            <w:r w:rsidR="004E2C43">
              <w:t>m</w:t>
            </w:r>
          </w:p>
        </w:tc>
      </w:tr>
      <w:tr w:rsidR="004E2C43" w:rsidTr="00DA2828">
        <w:trPr>
          <w:jc w:val="center"/>
        </w:trPr>
        <w:tc>
          <w:tcPr>
            <w:tcW w:w="3912" w:type="dxa"/>
            <w:vAlign w:val="center"/>
          </w:tcPr>
          <w:p w:rsidR="004E2C43" w:rsidRPr="00E63533" w:rsidRDefault="004E2C43" w:rsidP="00DA2828">
            <w:pPr>
              <w:jc w:val="center"/>
              <w:rPr>
                <w:rFonts w:eastAsia="Times New Roman" w:cs="Arial"/>
                <w:color w:val="000000"/>
                <w:szCs w:val="24"/>
                <w:lang w:eastAsia="en-GB"/>
              </w:rPr>
            </w:pPr>
            <w:r w:rsidRPr="00E63533">
              <w:rPr>
                <w:rFonts w:eastAsia="Times New Roman" w:cs="Arial"/>
                <w:color w:val="000000"/>
                <w:szCs w:val="24"/>
                <w:lang w:eastAsia="en-GB"/>
              </w:rPr>
              <w:t>B Roads</w:t>
            </w:r>
          </w:p>
        </w:tc>
        <w:tc>
          <w:tcPr>
            <w:tcW w:w="1984" w:type="dxa"/>
            <w:vAlign w:val="center"/>
          </w:tcPr>
          <w:p w:rsidR="004E2C43" w:rsidRDefault="00C933C3" w:rsidP="00DA2828">
            <w:pPr>
              <w:jc w:val="center"/>
            </w:pPr>
            <w:r>
              <w:t>45</w:t>
            </w:r>
            <w:r w:rsidR="0033503D">
              <w:t>8</w:t>
            </w:r>
          </w:p>
        </w:tc>
        <w:tc>
          <w:tcPr>
            <w:tcW w:w="2608" w:type="dxa"/>
            <w:vAlign w:val="center"/>
          </w:tcPr>
          <w:p w:rsidR="004E2C43" w:rsidRDefault="004E2C43" w:rsidP="00DA2828">
            <w:pPr>
              <w:jc w:val="center"/>
            </w:pPr>
            <w:r w:rsidRPr="00CA70EC">
              <w:t>km</w:t>
            </w:r>
          </w:p>
        </w:tc>
      </w:tr>
      <w:tr w:rsidR="004E2C43" w:rsidTr="00DA2828">
        <w:trPr>
          <w:jc w:val="center"/>
        </w:trPr>
        <w:tc>
          <w:tcPr>
            <w:tcW w:w="3912" w:type="dxa"/>
            <w:vAlign w:val="center"/>
          </w:tcPr>
          <w:p w:rsidR="004E2C43" w:rsidRPr="00E63533" w:rsidRDefault="004E2C43" w:rsidP="00DA2828">
            <w:pPr>
              <w:jc w:val="center"/>
              <w:rPr>
                <w:rFonts w:eastAsia="Times New Roman" w:cs="Arial"/>
                <w:color w:val="000000"/>
                <w:szCs w:val="24"/>
                <w:lang w:eastAsia="en-GB"/>
              </w:rPr>
            </w:pPr>
            <w:r w:rsidRPr="00E63533">
              <w:rPr>
                <w:rFonts w:eastAsia="Times New Roman" w:cs="Arial"/>
                <w:color w:val="000000"/>
                <w:szCs w:val="24"/>
                <w:lang w:eastAsia="en-GB"/>
              </w:rPr>
              <w:t>C Roads</w:t>
            </w:r>
          </w:p>
        </w:tc>
        <w:tc>
          <w:tcPr>
            <w:tcW w:w="1984" w:type="dxa"/>
            <w:vAlign w:val="center"/>
          </w:tcPr>
          <w:p w:rsidR="004E2C43" w:rsidRDefault="00C933C3" w:rsidP="00DA2828">
            <w:pPr>
              <w:jc w:val="center"/>
            </w:pPr>
            <w:r>
              <w:t>1</w:t>
            </w:r>
            <w:r w:rsidR="005F026A">
              <w:t>,</w:t>
            </w:r>
            <w:r>
              <w:t>284</w:t>
            </w:r>
          </w:p>
        </w:tc>
        <w:tc>
          <w:tcPr>
            <w:tcW w:w="2608" w:type="dxa"/>
            <w:vAlign w:val="center"/>
          </w:tcPr>
          <w:p w:rsidR="004E2C43" w:rsidRDefault="004E2C43" w:rsidP="00DA2828">
            <w:pPr>
              <w:jc w:val="center"/>
            </w:pPr>
            <w:r w:rsidRPr="00CA70EC">
              <w:t>km</w:t>
            </w:r>
          </w:p>
        </w:tc>
      </w:tr>
      <w:tr w:rsidR="004E2C43" w:rsidTr="00DA2828">
        <w:trPr>
          <w:jc w:val="center"/>
        </w:trPr>
        <w:tc>
          <w:tcPr>
            <w:tcW w:w="3912" w:type="dxa"/>
            <w:vAlign w:val="center"/>
          </w:tcPr>
          <w:p w:rsidR="004E2C43" w:rsidRPr="00E63533" w:rsidRDefault="004E2C43" w:rsidP="00DA2828">
            <w:pPr>
              <w:jc w:val="center"/>
              <w:rPr>
                <w:rFonts w:eastAsia="Times New Roman" w:cs="Arial"/>
                <w:color w:val="000000"/>
                <w:szCs w:val="24"/>
                <w:lang w:eastAsia="en-GB"/>
              </w:rPr>
            </w:pPr>
            <w:r w:rsidRPr="00E63533">
              <w:rPr>
                <w:rFonts w:eastAsia="Times New Roman" w:cs="Arial"/>
                <w:color w:val="000000" w:themeColor="text1"/>
                <w:szCs w:val="24"/>
                <w:lang w:eastAsia="en-GB"/>
              </w:rPr>
              <w:t>Unclassified Roads</w:t>
            </w:r>
          </w:p>
        </w:tc>
        <w:tc>
          <w:tcPr>
            <w:tcW w:w="1984" w:type="dxa"/>
            <w:vAlign w:val="center"/>
          </w:tcPr>
          <w:p w:rsidR="004E2C43" w:rsidRDefault="00C933C3" w:rsidP="00DA2828">
            <w:pPr>
              <w:jc w:val="center"/>
            </w:pPr>
            <w:r>
              <w:t>4</w:t>
            </w:r>
            <w:r w:rsidR="005F026A">
              <w:t>,</w:t>
            </w:r>
            <w:r w:rsidR="0033503D">
              <w:t>400</w:t>
            </w:r>
          </w:p>
        </w:tc>
        <w:tc>
          <w:tcPr>
            <w:tcW w:w="2608" w:type="dxa"/>
            <w:vAlign w:val="center"/>
          </w:tcPr>
          <w:p w:rsidR="004E2C43" w:rsidRDefault="004E2C43" w:rsidP="00DA2828">
            <w:pPr>
              <w:jc w:val="center"/>
            </w:pPr>
            <w:r w:rsidRPr="00CA70EC">
              <w:t>km</w:t>
            </w:r>
          </w:p>
        </w:tc>
      </w:tr>
      <w:tr w:rsidR="003C6F0A" w:rsidTr="00DA2828">
        <w:trPr>
          <w:jc w:val="center"/>
        </w:trPr>
        <w:tc>
          <w:tcPr>
            <w:tcW w:w="3912" w:type="dxa"/>
            <w:vAlign w:val="center"/>
          </w:tcPr>
          <w:p w:rsidR="003C6F0A" w:rsidRPr="00E63533" w:rsidRDefault="003C6F0A" w:rsidP="00DA2828">
            <w:pPr>
              <w:jc w:val="center"/>
              <w:rPr>
                <w:rFonts w:eastAsia="Times New Roman" w:cs="Arial"/>
                <w:color w:val="000000" w:themeColor="text1"/>
                <w:szCs w:val="24"/>
                <w:lang w:eastAsia="en-GB"/>
              </w:rPr>
            </w:pPr>
            <w:r>
              <w:rPr>
                <w:rFonts w:eastAsia="Times New Roman" w:cs="Arial"/>
                <w:color w:val="000000" w:themeColor="text1"/>
                <w:szCs w:val="24"/>
                <w:lang w:eastAsia="en-GB"/>
              </w:rPr>
              <w:t>Footways</w:t>
            </w:r>
          </w:p>
        </w:tc>
        <w:tc>
          <w:tcPr>
            <w:tcW w:w="1984" w:type="dxa"/>
            <w:vAlign w:val="center"/>
          </w:tcPr>
          <w:p w:rsidR="003C6F0A" w:rsidRDefault="003C6F0A" w:rsidP="00DA2828">
            <w:pPr>
              <w:jc w:val="center"/>
            </w:pPr>
            <w:r>
              <w:t>&gt;8,500</w:t>
            </w:r>
          </w:p>
        </w:tc>
        <w:tc>
          <w:tcPr>
            <w:tcW w:w="2608" w:type="dxa"/>
            <w:vAlign w:val="center"/>
          </w:tcPr>
          <w:p w:rsidR="003C6F0A" w:rsidRDefault="003C6F0A" w:rsidP="00DA2828">
            <w:pPr>
              <w:jc w:val="center"/>
            </w:pPr>
            <w:r>
              <w:t>km</w:t>
            </w:r>
          </w:p>
        </w:tc>
      </w:tr>
      <w:tr w:rsidR="00E63533" w:rsidTr="00DA2828">
        <w:trPr>
          <w:jc w:val="center"/>
        </w:trPr>
        <w:tc>
          <w:tcPr>
            <w:tcW w:w="3912" w:type="dxa"/>
            <w:vAlign w:val="center"/>
          </w:tcPr>
          <w:p w:rsidR="00E63533" w:rsidRPr="00E63533" w:rsidRDefault="00E63533" w:rsidP="00DA2828">
            <w:pPr>
              <w:jc w:val="center"/>
              <w:rPr>
                <w:rFonts w:eastAsia="Times New Roman" w:cs="Arial"/>
                <w:color w:val="000000"/>
                <w:szCs w:val="24"/>
                <w:lang w:eastAsia="en-GB"/>
              </w:rPr>
            </w:pPr>
            <w:r w:rsidRPr="00E63533">
              <w:rPr>
                <w:rFonts w:eastAsia="Times New Roman" w:cs="Arial"/>
                <w:color w:val="000000" w:themeColor="text1"/>
                <w:szCs w:val="24"/>
                <w:lang w:eastAsia="en-GB"/>
              </w:rPr>
              <w:t>Bridges &amp; Similar Structures</w:t>
            </w:r>
          </w:p>
        </w:tc>
        <w:tc>
          <w:tcPr>
            <w:tcW w:w="1984" w:type="dxa"/>
            <w:vAlign w:val="center"/>
          </w:tcPr>
          <w:p w:rsidR="00E63533" w:rsidRDefault="00E63533" w:rsidP="00DA2828">
            <w:pPr>
              <w:jc w:val="center"/>
            </w:pPr>
          </w:p>
        </w:tc>
        <w:tc>
          <w:tcPr>
            <w:tcW w:w="2608" w:type="dxa"/>
            <w:vAlign w:val="center"/>
          </w:tcPr>
          <w:p w:rsidR="00E63533" w:rsidRDefault="00E63533" w:rsidP="00DA2828">
            <w:pPr>
              <w:jc w:val="center"/>
            </w:pPr>
          </w:p>
        </w:tc>
      </w:tr>
      <w:tr w:rsidR="00A71972" w:rsidTr="00DA2828">
        <w:trPr>
          <w:jc w:val="center"/>
        </w:trPr>
        <w:tc>
          <w:tcPr>
            <w:tcW w:w="3912" w:type="dxa"/>
            <w:vAlign w:val="center"/>
          </w:tcPr>
          <w:p w:rsidR="00A71972" w:rsidRPr="00A71972" w:rsidRDefault="00A71972" w:rsidP="00DA2828">
            <w:pPr>
              <w:jc w:val="center"/>
              <w:rPr>
                <w:rFonts w:cs="Arial"/>
                <w:color w:val="000000"/>
                <w:szCs w:val="24"/>
              </w:rPr>
            </w:pPr>
            <w:r w:rsidRPr="00A71972">
              <w:rPr>
                <w:rFonts w:cs="Arial"/>
                <w:color w:val="000000"/>
                <w:szCs w:val="24"/>
              </w:rPr>
              <w:t>Bridge</w:t>
            </w:r>
          </w:p>
        </w:tc>
        <w:tc>
          <w:tcPr>
            <w:tcW w:w="1984" w:type="dxa"/>
            <w:shd w:val="clear" w:color="auto" w:fill="auto"/>
            <w:vAlign w:val="center"/>
          </w:tcPr>
          <w:p w:rsidR="00A71972" w:rsidRPr="005D6DA0" w:rsidRDefault="00A71972" w:rsidP="00DA2828">
            <w:pPr>
              <w:jc w:val="center"/>
              <w:rPr>
                <w:rFonts w:cs="Arial"/>
                <w:color w:val="000000"/>
                <w:szCs w:val="24"/>
              </w:rPr>
            </w:pPr>
            <w:r w:rsidRPr="005D6DA0">
              <w:rPr>
                <w:rFonts w:cs="Arial"/>
                <w:color w:val="000000"/>
                <w:szCs w:val="24"/>
              </w:rPr>
              <w:t>1</w:t>
            </w:r>
            <w:r w:rsidR="003C6F0A" w:rsidRPr="005D6DA0">
              <w:rPr>
                <w:rFonts w:cs="Arial"/>
                <w:color w:val="000000"/>
                <w:szCs w:val="24"/>
              </w:rPr>
              <w:t>,</w:t>
            </w:r>
            <w:r w:rsidRPr="005D6DA0">
              <w:rPr>
                <w:rFonts w:cs="Arial"/>
                <w:color w:val="000000"/>
                <w:szCs w:val="24"/>
              </w:rPr>
              <w:t>33</w:t>
            </w:r>
            <w:r w:rsidR="005D6DA0" w:rsidRPr="005D6DA0">
              <w:rPr>
                <w:rFonts w:cs="Arial"/>
                <w:color w:val="000000"/>
                <w:szCs w:val="24"/>
              </w:rPr>
              <w:t>5</w:t>
            </w:r>
          </w:p>
        </w:tc>
        <w:tc>
          <w:tcPr>
            <w:tcW w:w="2608" w:type="dxa"/>
            <w:shd w:val="clear" w:color="auto" w:fill="auto"/>
            <w:vAlign w:val="center"/>
          </w:tcPr>
          <w:p w:rsidR="00A71972" w:rsidRPr="005D6DA0" w:rsidRDefault="00A71972" w:rsidP="00DA2828">
            <w:pPr>
              <w:jc w:val="center"/>
              <w:rPr>
                <w:rFonts w:cs="Arial"/>
                <w:szCs w:val="24"/>
              </w:rPr>
            </w:pPr>
            <w:r w:rsidRPr="005D6DA0">
              <w:rPr>
                <w:rFonts w:cs="Arial"/>
                <w:szCs w:val="24"/>
              </w:rPr>
              <w:t>No</w:t>
            </w:r>
          </w:p>
        </w:tc>
      </w:tr>
      <w:tr w:rsidR="00A71972" w:rsidTr="00DA2828">
        <w:trPr>
          <w:jc w:val="center"/>
        </w:trPr>
        <w:tc>
          <w:tcPr>
            <w:tcW w:w="3912" w:type="dxa"/>
            <w:vAlign w:val="center"/>
          </w:tcPr>
          <w:p w:rsidR="00A71972" w:rsidRPr="00A71972" w:rsidRDefault="00A71972" w:rsidP="00DA2828">
            <w:pPr>
              <w:jc w:val="center"/>
              <w:rPr>
                <w:rFonts w:cs="Arial"/>
                <w:color w:val="000000"/>
                <w:szCs w:val="24"/>
              </w:rPr>
            </w:pPr>
            <w:r w:rsidRPr="00A71972">
              <w:rPr>
                <w:rFonts w:cs="Arial"/>
                <w:color w:val="000000"/>
                <w:szCs w:val="24"/>
              </w:rPr>
              <w:t>Bridge (Bridleway)</w:t>
            </w:r>
          </w:p>
        </w:tc>
        <w:tc>
          <w:tcPr>
            <w:tcW w:w="1984" w:type="dxa"/>
            <w:shd w:val="clear" w:color="auto" w:fill="auto"/>
            <w:vAlign w:val="center"/>
          </w:tcPr>
          <w:p w:rsidR="00A71972" w:rsidRPr="005D6DA0" w:rsidRDefault="00A71972" w:rsidP="00DA2828">
            <w:pPr>
              <w:jc w:val="center"/>
              <w:rPr>
                <w:rFonts w:cs="Arial"/>
                <w:color w:val="000000"/>
                <w:szCs w:val="24"/>
              </w:rPr>
            </w:pPr>
            <w:r w:rsidRPr="005D6DA0">
              <w:rPr>
                <w:rFonts w:cs="Arial"/>
                <w:color w:val="000000"/>
                <w:szCs w:val="24"/>
              </w:rPr>
              <w:t>7</w:t>
            </w:r>
          </w:p>
        </w:tc>
        <w:tc>
          <w:tcPr>
            <w:tcW w:w="2608" w:type="dxa"/>
            <w:shd w:val="clear" w:color="auto" w:fill="auto"/>
            <w:vAlign w:val="center"/>
          </w:tcPr>
          <w:p w:rsidR="00A71972" w:rsidRPr="005D6DA0" w:rsidRDefault="00A71972" w:rsidP="00DA2828">
            <w:pPr>
              <w:jc w:val="center"/>
              <w:rPr>
                <w:rFonts w:cs="Arial"/>
                <w:szCs w:val="24"/>
              </w:rPr>
            </w:pPr>
            <w:r w:rsidRPr="005D6DA0">
              <w:rPr>
                <w:rFonts w:cs="Arial"/>
                <w:szCs w:val="24"/>
              </w:rPr>
              <w:t>No</w:t>
            </w:r>
          </w:p>
        </w:tc>
      </w:tr>
      <w:tr w:rsidR="00A71972" w:rsidTr="00DA2828">
        <w:trPr>
          <w:jc w:val="center"/>
        </w:trPr>
        <w:tc>
          <w:tcPr>
            <w:tcW w:w="3912" w:type="dxa"/>
            <w:vAlign w:val="center"/>
          </w:tcPr>
          <w:p w:rsidR="00A71972" w:rsidRPr="00A71972" w:rsidRDefault="00A71972" w:rsidP="00DA2828">
            <w:pPr>
              <w:jc w:val="center"/>
              <w:rPr>
                <w:rFonts w:cs="Arial"/>
                <w:color w:val="000000"/>
                <w:szCs w:val="24"/>
              </w:rPr>
            </w:pPr>
            <w:r w:rsidRPr="00A71972">
              <w:rPr>
                <w:rFonts w:cs="Arial"/>
                <w:color w:val="000000"/>
                <w:szCs w:val="24"/>
              </w:rPr>
              <w:t>Bridge (Occupation)</w:t>
            </w:r>
          </w:p>
        </w:tc>
        <w:tc>
          <w:tcPr>
            <w:tcW w:w="1984" w:type="dxa"/>
            <w:shd w:val="clear" w:color="auto" w:fill="auto"/>
            <w:vAlign w:val="center"/>
          </w:tcPr>
          <w:p w:rsidR="00A71972" w:rsidRPr="005D6DA0" w:rsidRDefault="00A71972" w:rsidP="00DA2828">
            <w:pPr>
              <w:jc w:val="center"/>
              <w:rPr>
                <w:rFonts w:cs="Arial"/>
                <w:color w:val="000000"/>
                <w:szCs w:val="24"/>
              </w:rPr>
            </w:pPr>
            <w:r w:rsidRPr="005D6DA0">
              <w:rPr>
                <w:rFonts w:cs="Arial"/>
                <w:color w:val="000000"/>
                <w:szCs w:val="24"/>
              </w:rPr>
              <w:t>5</w:t>
            </w:r>
          </w:p>
        </w:tc>
        <w:tc>
          <w:tcPr>
            <w:tcW w:w="2608" w:type="dxa"/>
            <w:shd w:val="clear" w:color="auto" w:fill="auto"/>
            <w:vAlign w:val="center"/>
          </w:tcPr>
          <w:p w:rsidR="00A71972" w:rsidRPr="005D6DA0" w:rsidRDefault="00A71972" w:rsidP="00DA2828">
            <w:pPr>
              <w:jc w:val="center"/>
              <w:rPr>
                <w:rFonts w:cs="Arial"/>
                <w:szCs w:val="24"/>
              </w:rPr>
            </w:pPr>
            <w:r w:rsidRPr="005D6DA0">
              <w:rPr>
                <w:rFonts w:cs="Arial"/>
                <w:szCs w:val="24"/>
              </w:rPr>
              <w:t>No</w:t>
            </w:r>
          </w:p>
        </w:tc>
      </w:tr>
      <w:tr w:rsidR="00A71972" w:rsidTr="00DA2828">
        <w:trPr>
          <w:jc w:val="center"/>
        </w:trPr>
        <w:tc>
          <w:tcPr>
            <w:tcW w:w="3912" w:type="dxa"/>
            <w:vAlign w:val="center"/>
          </w:tcPr>
          <w:p w:rsidR="00A71972" w:rsidRPr="00A71972" w:rsidRDefault="00A71972" w:rsidP="00DA2828">
            <w:pPr>
              <w:jc w:val="center"/>
              <w:rPr>
                <w:rFonts w:cs="Arial"/>
                <w:color w:val="000000"/>
                <w:szCs w:val="24"/>
              </w:rPr>
            </w:pPr>
            <w:r w:rsidRPr="00A71972">
              <w:rPr>
                <w:rFonts w:cs="Arial"/>
                <w:color w:val="000000"/>
                <w:szCs w:val="24"/>
              </w:rPr>
              <w:t>Footbridge</w:t>
            </w:r>
          </w:p>
        </w:tc>
        <w:tc>
          <w:tcPr>
            <w:tcW w:w="1984" w:type="dxa"/>
            <w:vAlign w:val="center"/>
          </w:tcPr>
          <w:p w:rsidR="00A71972" w:rsidRPr="005D6DA0" w:rsidRDefault="00A71972" w:rsidP="00DA2828">
            <w:pPr>
              <w:jc w:val="center"/>
              <w:rPr>
                <w:rFonts w:cs="Arial"/>
                <w:color w:val="000000"/>
                <w:szCs w:val="24"/>
              </w:rPr>
            </w:pPr>
            <w:r w:rsidRPr="005D6DA0">
              <w:rPr>
                <w:rFonts w:cs="Arial"/>
                <w:color w:val="000000"/>
                <w:szCs w:val="24"/>
              </w:rPr>
              <w:t>3</w:t>
            </w:r>
            <w:r w:rsidR="005D6DA0" w:rsidRPr="005D6DA0">
              <w:rPr>
                <w:rFonts w:cs="Arial"/>
                <w:color w:val="000000"/>
                <w:szCs w:val="24"/>
              </w:rPr>
              <w:t>13</w:t>
            </w:r>
          </w:p>
        </w:tc>
        <w:tc>
          <w:tcPr>
            <w:tcW w:w="2608" w:type="dxa"/>
            <w:vAlign w:val="center"/>
          </w:tcPr>
          <w:p w:rsidR="00A71972" w:rsidRPr="005D6DA0" w:rsidRDefault="00A71972" w:rsidP="00DA2828">
            <w:pPr>
              <w:jc w:val="center"/>
              <w:rPr>
                <w:rFonts w:cs="Arial"/>
                <w:szCs w:val="24"/>
              </w:rPr>
            </w:pPr>
            <w:r w:rsidRPr="005D6DA0">
              <w:rPr>
                <w:rFonts w:cs="Arial"/>
                <w:szCs w:val="24"/>
              </w:rPr>
              <w:t>No</w:t>
            </w:r>
          </w:p>
        </w:tc>
      </w:tr>
      <w:tr w:rsidR="00A71972" w:rsidTr="00DA2828">
        <w:trPr>
          <w:jc w:val="center"/>
        </w:trPr>
        <w:tc>
          <w:tcPr>
            <w:tcW w:w="3912" w:type="dxa"/>
            <w:vAlign w:val="center"/>
          </w:tcPr>
          <w:p w:rsidR="00A71972" w:rsidRPr="00A71972" w:rsidRDefault="00A71972" w:rsidP="00DA2828">
            <w:pPr>
              <w:jc w:val="center"/>
              <w:rPr>
                <w:rFonts w:cs="Arial"/>
                <w:color w:val="000000"/>
                <w:szCs w:val="24"/>
              </w:rPr>
            </w:pPr>
            <w:r w:rsidRPr="00A71972">
              <w:rPr>
                <w:rFonts w:cs="Arial"/>
                <w:color w:val="000000"/>
                <w:szCs w:val="24"/>
              </w:rPr>
              <w:t>Rural Footbridge</w:t>
            </w:r>
          </w:p>
        </w:tc>
        <w:tc>
          <w:tcPr>
            <w:tcW w:w="1984" w:type="dxa"/>
            <w:vAlign w:val="center"/>
          </w:tcPr>
          <w:p w:rsidR="00A71972" w:rsidRPr="005D6DA0" w:rsidRDefault="00A71972" w:rsidP="00DA2828">
            <w:pPr>
              <w:jc w:val="center"/>
              <w:rPr>
                <w:rFonts w:cs="Arial"/>
                <w:color w:val="000000"/>
                <w:szCs w:val="24"/>
              </w:rPr>
            </w:pPr>
            <w:r w:rsidRPr="005D6DA0">
              <w:rPr>
                <w:rFonts w:cs="Arial"/>
                <w:color w:val="000000"/>
                <w:szCs w:val="24"/>
              </w:rPr>
              <w:t>1</w:t>
            </w:r>
            <w:r w:rsidR="003C6F0A" w:rsidRPr="005D6DA0">
              <w:rPr>
                <w:rFonts w:cs="Arial"/>
                <w:color w:val="000000"/>
                <w:szCs w:val="24"/>
              </w:rPr>
              <w:t>,</w:t>
            </w:r>
            <w:r w:rsidRPr="005D6DA0">
              <w:rPr>
                <w:rFonts w:cs="Arial"/>
                <w:color w:val="000000"/>
                <w:szCs w:val="24"/>
              </w:rPr>
              <w:t>12</w:t>
            </w:r>
            <w:r w:rsidR="005D6DA0" w:rsidRPr="005D6DA0">
              <w:rPr>
                <w:rFonts w:cs="Arial"/>
                <w:color w:val="000000"/>
                <w:szCs w:val="24"/>
              </w:rPr>
              <w:t>7</w:t>
            </w:r>
          </w:p>
        </w:tc>
        <w:tc>
          <w:tcPr>
            <w:tcW w:w="2608" w:type="dxa"/>
            <w:vAlign w:val="center"/>
          </w:tcPr>
          <w:p w:rsidR="00A71972" w:rsidRPr="005D6DA0" w:rsidRDefault="00A71972" w:rsidP="00DA2828">
            <w:pPr>
              <w:jc w:val="center"/>
              <w:rPr>
                <w:rFonts w:cs="Arial"/>
                <w:szCs w:val="24"/>
              </w:rPr>
            </w:pPr>
            <w:r w:rsidRPr="005D6DA0">
              <w:rPr>
                <w:rFonts w:cs="Arial"/>
                <w:szCs w:val="24"/>
              </w:rPr>
              <w:t>No</w:t>
            </w:r>
          </w:p>
        </w:tc>
      </w:tr>
      <w:tr w:rsidR="005D6DA0" w:rsidTr="00DA2828">
        <w:trPr>
          <w:jc w:val="center"/>
        </w:trPr>
        <w:tc>
          <w:tcPr>
            <w:tcW w:w="3912" w:type="dxa"/>
            <w:vAlign w:val="center"/>
          </w:tcPr>
          <w:p w:rsidR="005D6DA0" w:rsidRPr="00E63533" w:rsidRDefault="005D6DA0" w:rsidP="00DA2828">
            <w:pPr>
              <w:jc w:val="center"/>
              <w:rPr>
                <w:rFonts w:eastAsia="Times New Roman" w:cs="Arial"/>
                <w:color w:val="000000" w:themeColor="text1"/>
                <w:szCs w:val="24"/>
                <w:lang w:eastAsia="en-GB"/>
              </w:rPr>
            </w:pPr>
            <w:r>
              <w:rPr>
                <w:rFonts w:eastAsia="Times New Roman" w:cs="Arial"/>
                <w:color w:val="000000" w:themeColor="text1"/>
                <w:szCs w:val="24"/>
                <w:lang w:eastAsia="en-GB"/>
              </w:rPr>
              <w:t>Stepping Stones</w:t>
            </w:r>
          </w:p>
        </w:tc>
        <w:tc>
          <w:tcPr>
            <w:tcW w:w="1984" w:type="dxa"/>
            <w:vAlign w:val="center"/>
          </w:tcPr>
          <w:p w:rsidR="005D6DA0" w:rsidRDefault="005D6DA0" w:rsidP="00DA2828">
            <w:pPr>
              <w:jc w:val="center"/>
            </w:pPr>
            <w:r>
              <w:t>13</w:t>
            </w:r>
          </w:p>
        </w:tc>
        <w:tc>
          <w:tcPr>
            <w:tcW w:w="2608" w:type="dxa"/>
            <w:vAlign w:val="center"/>
          </w:tcPr>
          <w:p w:rsidR="005D6DA0" w:rsidRDefault="005D6DA0" w:rsidP="00DA2828">
            <w:pPr>
              <w:jc w:val="center"/>
            </w:pPr>
            <w:r>
              <w:t>Sites</w:t>
            </w:r>
          </w:p>
        </w:tc>
      </w:tr>
      <w:tr w:rsidR="005D6DA0" w:rsidTr="00DA2828">
        <w:trPr>
          <w:jc w:val="center"/>
        </w:trPr>
        <w:tc>
          <w:tcPr>
            <w:tcW w:w="3912" w:type="dxa"/>
            <w:vAlign w:val="center"/>
          </w:tcPr>
          <w:p w:rsidR="005D6DA0" w:rsidRPr="00E63533" w:rsidRDefault="005D6DA0" w:rsidP="00DA2828">
            <w:pPr>
              <w:jc w:val="center"/>
              <w:rPr>
                <w:rFonts w:eastAsia="Times New Roman" w:cs="Arial"/>
                <w:color w:val="000000" w:themeColor="text1"/>
                <w:szCs w:val="24"/>
                <w:lang w:eastAsia="en-GB"/>
              </w:rPr>
            </w:pPr>
            <w:r>
              <w:rPr>
                <w:rFonts w:eastAsia="Times New Roman" w:cs="Arial"/>
                <w:color w:val="000000" w:themeColor="text1"/>
                <w:szCs w:val="24"/>
                <w:lang w:eastAsia="en-GB"/>
              </w:rPr>
              <w:t>Subways</w:t>
            </w:r>
          </w:p>
        </w:tc>
        <w:tc>
          <w:tcPr>
            <w:tcW w:w="1984" w:type="dxa"/>
            <w:vAlign w:val="center"/>
          </w:tcPr>
          <w:p w:rsidR="005D6DA0" w:rsidRDefault="005D6DA0" w:rsidP="00DA2828">
            <w:pPr>
              <w:jc w:val="center"/>
            </w:pPr>
            <w:r>
              <w:t>121</w:t>
            </w:r>
          </w:p>
        </w:tc>
        <w:tc>
          <w:tcPr>
            <w:tcW w:w="2608" w:type="dxa"/>
            <w:vAlign w:val="center"/>
          </w:tcPr>
          <w:p w:rsidR="005D6DA0" w:rsidRDefault="005D6DA0" w:rsidP="00DA2828">
            <w:pPr>
              <w:jc w:val="center"/>
            </w:pPr>
            <w:r>
              <w:t>No</w:t>
            </w:r>
          </w:p>
        </w:tc>
      </w:tr>
      <w:tr w:rsidR="00C933C3" w:rsidTr="00DA2828">
        <w:trPr>
          <w:jc w:val="center"/>
        </w:trPr>
        <w:tc>
          <w:tcPr>
            <w:tcW w:w="3912" w:type="dxa"/>
            <w:vAlign w:val="center"/>
          </w:tcPr>
          <w:p w:rsidR="00C933C3" w:rsidRPr="00E63533" w:rsidRDefault="00C933C3" w:rsidP="00DA2828">
            <w:pPr>
              <w:jc w:val="center"/>
              <w:rPr>
                <w:rFonts w:eastAsia="Times New Roman" w:cs="Arial"/>
                <w:color w:val="000000" w:themeColor="text1"/>
                <w:szCs w:val="24"/>
                <w:lang w:eastAsia="en-GB"/>
              </w:rPr>
            </w:pPr>
          </w:p>
        </w:tc>
        <w:tc>
          <w:tcPr>
            <w:tcW w:w="1984" w:type="dxa"/>
            <w:vAlign w:val="center"/>
          </w:tcPr>
          <w:p w:rsidR="00C933C3" w:rsidRDefault="00C933C3" w:rsidP="00DA2828">
            <w:pPr>
              <w:jc w:val="center"/>
            </w:pPr>
          </w:p>
        </w:tc>
        <w:tc>
          <w:tcPr>
            <w:tcW w:w="2608" w:type="dxa"/>
            <w:vAlign w:val="center"/>
          </w:tcPr>
          <w:p w:rsidR="00C933C3" w:rsidRDefault="00C933C3" w:rsidP="00DA2828">
            <w:pPr>
              <w:jc w:val="center"/>
            </w:pPr>
          </w:p>
        </w:tc>
      </w:tr>
      <w:tr w:rsidR="00A71972" w:rsidTr="00DA2828">
        <w:trPr>
          <w:jc w:val="center"/>
        </w:trPr>
        <w:tc>
          <w:tcPr>
            <w:tcW w:w="3912" w:type="dxa"/>
            <w:vAlign w:val="center"/>
          </w:tcPr>
          <w:p w:rsidR="00A71972" w:rsidRPr="00E63533" w:rsidRDefault="00A71972" w:rsidP="00DA2828">
            <w:pPr>
              <w:jc w:val="center"/>
              <w:rPr>
                <w:rFonts w:eastAsia="Times New Roman" w:cs="Arial"/>
                <w:color w:val="000000"/>
                <w:szCs w:val="24"/>
                <w:lang w:eastAsia="en-GB"/>
              </w:rPr>
            </w:pPr>
            <w:r w:rsidRPr="00E63533">
              <w:rPr>
                <w:rFonts w:eastAsia="Times New Roman" w:cs="Arial"/>
                <w:color w:val="000000" w:themeColor="text1"/>
                <w:szCs w:val="24"/>
                <w:lang w:eastAsia="en-GB"/>
              </w:rPr>
              <w:t>Street Lighting</w:t>
            </w:r>
          </w:p>
        </w:tc>
        <w:tc>
          <w:tcPr>
            <w:tcW w:w="1984" w:type="dxa"/>
            <w:vAlign w:val="center"/>
          </w:tcPr>
          <w:p w:rsidR="00A71972" w:rsidRPr="00006779" w:rsidRDefault="00006779" w:rsidP="00DA2828">
            <w:pPr>
              <w:jc w:val="center"/>
            </w:pPr>
            <w:r w:rsidRPr="00006779">
              <w:t>150,075</w:t>
            </w:r>
          </w:p>
        </w:tc>
        <w:tc>
          <w:tcPr>
            <w:tcW w:w="2608" w:type="dxa"/>
            <w:vAlign w:val="center"/>
          </w:tcPr>
          <w:p w:rsidR="00A71972" w:rsidRPr="00006779" w:rsidRDefault="00A71972" w:rsidP="00DA2828">
            <w:pPr>
              <w:jc w:val="center"/>
            </w:pPr>
            <w:r w:rsidRPr="00006779">
              <w:t>No.</w:t>
            </w:r>
          </w:p>
        </w:tc>
      </w:tr>
      <w:tr w:rsidR="00A71972" w:rsidTr="00DA2828">
        <w:trPr>
          <w:jc w:val="center"/>
        </w:trPr>
        <w:tc>
          <w:tcPr>
            <w:tcW w:w="3912" w:type="dxa"/>
            <w:vAlign w:val="center"/>
          </w:tcPr>
          <w:p w:rsidR="00A71972" w:rsidRPr="00E63533" w:rsidRDefault="00A71972" w:rsidP="00DA2828">
            <w:pPr>
              <w:jc w:val="center"/>
              <w:rPr>
                <w:rFonts w:eastAsia="Times New Roman" w:cs="Arial"/>
                <w:color w:val="000000" w:themeColor="text1"/>
                <w:szCs w:val="24"/>
                <w:lang w:eastAsia="en-GB"/>
              </w:rPr>
            </w:pPr>
            <w:r>
              <w:rPr>
                <w:rFonts w:eastAsia="Times New Roman" w:cs="Arial"/>
                <w:color w:val="000000" w:themeColor="text1"/>
                <w:szCs w:val="24"/>
                <w:lang w:eastAsia="en-GB"/>
              </w:rPr>
              <w:t xml:space="preserve">Illuminated Signs and Bollards </w:t>
            </w:r>
            <w:r w:rsidR="00DA2828">
              <w:rPr>
                <w:rFonts w:eastAsia="Times New Roman" w:cs="Arial"/>
                <w:color w:val="000000" w:themeColor="text1"/>
                <w:szCs w:val="24"/>
                <w:lang w:eastAsia="en-GB"/>
              </w:rPr>
              <w:t>etc.</w:t>
            </w:r>
          </w:p>
        </w:tc>
        <w:tc>
          <w:tcPr>
            <w:tcW w:w="1984" w:type="dxa"/>
            <w:vAlign w:val="center"/>
          </w:tcPr>
          <w:p w:rsidR="00A71972" w:rsidRPr="00006779" w:rsidRDefault="00006779" w:rsidP="00DA2828">
            <w:pPr>
              <w:jc w:val="center"/>
            </w:pPr>
            <w:r w:rsidRPr="00006779">
              <w:t>18,441</w:t>
            </w:r>
          </w:p>
        </w:tc>
        <w:tc>
          <w:tcPr>
            <w:tcW w:w="2608" w:type="dxa"/>
            <w:vAlign w:val="center"/>
          </w:tcPr>
          <w:p w:rsidR="00A71972" w:rsidRPr="00006779" w:rsidRDefault="00A71972" w:rsidP="00DA2828">
            <w:pPr>
              <w:jc w:val="center"/>
            </w:pPr>
            <w:r w:rsidRPr="00006779">
              <w:t>No.</w:t>
            </w:r>
          </w:p>
        </w:tc>
      </w:tr>
      <w:tr w:rsidR="00A71972" w:rsidTr="00DA2828">
        <w:trPr>
          <w:jc w:val="center"/>
        </w:trPr>
        <w:tc>
          <w:tcPr>
            <w:tcW w:w="3912" w:type="dxa"/>
            <w:vAlign w:val="center"/>
          </w:tcPr>
          <w:p w:rsidR="00A71972" w:rsidRPr="00E63533" w:rsidRDefault="00A71972" w:rsidP="00DA2828">
            <w:pPr>
              <w:jc w:val="center"/>
              <w:rPr>
                <w:rFonts w:eastAsia="Times New Roman" w:cs="Arial"/>
                <w:color w:val="000000"/>
                <w:szCs w:val="24"/>
                <w:lang w:eastAsia="en-GB"/>
              </w:rPr>
            </w:pPr>
            <w:r w:rsidRPr="00E63533">
              <w:rPr>
                <w:rFonts w:eastAsia="Times New Roman" w:cs="Arial"/>
                <w:color w:val="000000" w:themeColor="text1"/>
                <w:szCs w:val="24"/>
                <w:lang w:eastAsia="en-GB"/>
              </w:rPr>
              <w:t>Traffic Signals</w:t>
            </w:r>
          </w:p>
        </w:tc>
        <w:tc>
          <w:tcPr>
            <w:tcW w:w="1984" w:type="dxa"/>
            <w:shd w:val="clear" w:color="auto" w:fill="auto"/>
            <w:vAlign w:val="center"/>
          </w:tcPr>
          <w:p w:rsidR="00A71972" w:rsidRPr="005D6DA0" w:rsidRDefault="00A15F0B" w:rsidP="00DA2828">
            <w:pPr>
              <w:jc w:val="center"/>
            </w:pPr>
            <w:r w:rsidRPr="005D6DA0">
              <w:t>324</w:t>
            </w:r>
            <w:r w:rsidR="005D6DA0" w:rsidRPr="005D6DA0">
              <w:t xml:space="preserve"> (approx.)</w:t>
            </w:r>
          </w:p>
        </w:tc>
        <w:tc>
          <w:tcPr>
            <w:tcW w:w="2608" w:type="dxa"/>
            <w:shd w:val="clear" w:color="auto" w:fill="auto"/>
            <w:vAlign w:val="center"/>
          </w:tcPr>
          <w:p w:rsidR="00A71972" w:rsidRPr="005D6DA0" w:rsidRDefault="000D3A17" w:rsidP="00DA2828">
            <w:pPr>
              <w:jc w:val="center"/>
            </w:pPr>
            <w:r w:rsidRPr="005D6DA0">
              <w:t>Sites</w:t>
            </w:r>
          </w:p>
        </w:tc>
      </w:tr>
      <w:tr w:rsidR="00A71972" w:rsidTr="00DA2828">
        <w:trPr>
          <w:jc w:val="center"/>
        </w:trPr>
        <w:tc>
          <w:tcPr>
            <w:tcW w:w="3912" w:type="dxa"/>
            <w:vAlign w:val="center"/>
          </w:tcPr>
          <w:p w:rsidR="00A71972" w:rsidRPr="00E63533" w:rsidRDefault="00A15F0B" w:rsidP="00DA2828">
            <w:pPr>
              <w:jc w:val="center"/>
              <w:rPr>
                <w:rFonts w:eastAsia="Times New Roman" w:cs="Arial"/>
                <w:color w:val="000000" w:themeColor="text1"/>
                <w:szCs w:val="24"/>
                <w:lang w:eastAsia="en-GB"/>
              </w:rPr>
            </w:pPr>
            <w:r>
              <w:rPr>
                <w:rFonts w:eastAsia="Times New Roman" w:cs="Arial"/>
                <w:color w:val="000000" w:themeColor="text1"/>
                <w:szCs w:val="24"/>
                <w:lang w:eastAsia="en-GB"/>
              </w:rPr>
              <w:t>Pedestrian Crossings</w:t>
            </w:r>
          </w:p>
        </w:tc>
        <w:tc>
          <w:tcPr>
            <w:tcW w:w="1984" w:type="dxa"/>
            <w:shd w:val="clear" w:color="auto" w:fill="auto"/>
            <w:vAlign w:val="center"/>
          </w:tcPr>
          <w:p w:rsidR="00A71972" w:rsidRPr="005D6DA0" w:rsidRDefault="00A15F0B" w:rsidP="00DA2828">
            <w:pPr>
              <w:jc w:val="center"/>
            </w:pPr>
            <w:r w:rsidRPr="005D6DA0">
              <w:t>293</w:t>
            </w:r>
            <w:r w:rsidR="005D6DA0" w:rsidRPr="005D6DA0">
              <w:t xml:space="preserve"> (approx.)</w:t>
            </w:r>
          </w:p>
        </w:tc>
        <w:tc>
          <w:tcPr>
            <w:tcW w:w="2608" w:type="dxa"/>
            <w:shd w:val="clear" w:color="auto" w:fill="auto"/>
            <w:vAlign w:val="center"/>
          </w:tcPr>
          <w:p w:rsidR="00A71972" w:rsidRPr="005D6DA0" w:rsidRDefault="00A15F0B" w:rsidP="00DA2828">
            <w:pPr>
              <w:jc w:val="center"/>
            </w:pPr>
            <w:r w:rsidRPr="005D6DA0">
              <w:t>Sites</w:t>
            </w:r>
          </w:p>
        </w:tc>
      </w:tr>
      <w:tr w:rsidR="00A71972" w:rsidTr="00DA2828">
        <w:trPr>
          <w:jc w:val="center"/>
        </w:trPr>
        <w:tc>
          <w:tcPr>
            <w:tcW w:w="3912" w:type="dxa"/>
            <w:vAlign w:val="center"/>
          </w:tcPr>
          <w:p w:rsidR="00A71972" w:rsidRPr="00E63533" w:rsidRDefault="00A71972" w:rsidP="00DA2828">
            <w:pPr>
              <w:jc w:val="center"/>
              <w:rPr>
                <w:rFonts w:eastAsia="Times New Roman" w:cs="Arial"/>
                <w:color w:val="000000" w:themeColor="text1"/>
                <w:szCs w:val="24"/>
                <w:lang w:eastAsia="en-GB"/>
              </w:rPr>
            </w:pPr>
          </w:p>
        </w:tc>
        <w:tc>
          <w:tcPr>
            <w:tcW w:w="1984" w:type="dxa"/>
            <w:vAlign w:val="center"/>
          </w:tcPr>
          <w:p w:rsidR="00A71972" w:rsidRDefault="00A71972" w:rsidP="00DA2828">
            <w:pPr>
              <w:jc w:val="center"/>
            </w:pPr>
          </w:p>
        </w:tc>
        <w:tc>
          <w:tcPr>
            <w:tcW w:w="2608" w:type="dxa"/>
            <w:vAlign w:val="center"/>
          </w:tcPr>
          <w:p w:rsidR="00A71972" w:rsidRDefault="00A71972" w:rsidP="00DA2828">
            <w:pPr>
              <w:jc w:val="center"/>
            </w:pPr>
          </w:p>
        </w:tc>
      </w:tr>
    </w:tbl>
    <w:p w:rsidR="00E63533" w:rsidRDefault="00E63533" w:rsidP="00E63533">
      <w:pPr>
        <w:spacing w:after="0"/>
      </w:pPr>
    </w:p>
    <w:p w:rsidR="00E500A9" w:rsidRPr="00E63533" w:rsidRDefault="00E500A9">
      <w:pPr>
        <w:spacing w:after="0"/>
      </w:pPr>
    </w:p>
    <w:sectPr w:rsidR="00E500A9" w:rsidRPr="00E63533" w:rsidSect="008A0D11">
      <w:type w:val="continuous"/>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AF0" w:rsidRDefault="00872AF0" w:rsidP="00212E26">
      <w:pPr>
        <w:spacing w:after="0" w:line="240" w:lineRule="auto"/>
      </w:pPr>
      <w:r>
        <w:separator/>
      </w:r>
    </w:p>
  </w:endnote>
  <w:endnote w:type="continuationSeparator" w:id="0">
    <w:p w:rsidR="00872AF0" w:rsidRDefault="00872AF0" w:rsidP="0021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T5ECDAEo00">
    <w:panose1 w:val="00000000000000000000"/>
    <w:charset w:val="00"/>
    <w:family w:val="auto"/>
    <w:notTrueType/>
    <w:pitch w:val="default"/>
    <w:sig w:usb0="00000003" w:usb1="00000000" w:usb2="00000000" w:usb3="00000000" w:csb0="00000001" w:csb1="00000000"/>
  </w:font>
  <w:font w:name="TT5ECDB0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65" w:rsidRPr="00C9191C" w:rsidRDefault="00FA1765" w:rsidP="00392C3F">
    <w:pPr>
      <w:pStyle w:val="Footer"/>
      <w:pBdr>
        <w:top w:val="thinThickSmallGap" w:sz="24" w:space="1" w:color="000000" w:themeColor="text1"/>
      </w:pBdr>
      <w:rPr>
        <w:rFonts w:cs="Arial"/>
        <w:sz w:val="20"/>
        <w:szCs w:val="20"/>
      </w:rPr>
    </w:pPr>
    <w:r w:rsidRPr="00C9191C">
      <w:rPr>
        <w:rFonts w:cs="Arial"/>
        <w:sz w:val="20"/>
        <w:szCs w:val="20"/>
      </w:rPr>
      <w:t>Transport Asset Management Plan</w:t>
    </w:r>
    <w:r>
      <w:rPr>
        <w:rFonts w:cs="Arial"/>
        <w:sz w:val="20"/>
        <w:szCs w:val="20"/>
      </w:rPr>
      <w:t xml:space="preserve"> – Draft Data Refresh October 2018</w:t>
    </w:r>
    <w:r w:rsidRPr="00C9191C">
      <w:rPr>
        <w:rFonts w:cs="Arial"/>
        <w:sz w:val="20"/>
        <w:szCs w:val="20"/>
      </w:rPr>
      <w:t xml:space="preserve"> </w:t>
    </w:r>
    <w:r w:rsidRPr="00C9191C">
      <w:rPr>
        <w:rFonts w:cs="Arial"/>
        <w:sz w:val="20"/>
        <w:szCs w:val="20"/>
      </w:rPr>
      <w:ptab w:relativeTo="margin" w:alignment="right" w:leader="none"/>
    </w:r>
    <w:r w:rsidRPr="00C9191C">
      <w:rPr>
        <w:rFonts w:cs="Arial"/>
        <w:sz w:val="20"/>
        <w:szCs w:val="20"/>
      </w:rPr>
      <w:t xml:space="preserve">Page </w:t>
    </w:r>
    <w:r w:rsidRPr="00C9191C">
      <w:rPr>
        <w:rFonts w:cs="Arial"/>
        <w:sz w:val="20"/>
        <w:szCs w:val="20"/>
      </w:rPr>
      <w:fldChar w:fldCharType="begin"/>
    </w:r>
    <w:r w:rsidRPr="00C9191C">
      <w:rPr>
        <w:rFonts w:cs="Arial"/>
        <w:sz w:val="20"/>
        <w:szCs w:val="20"/>
      </w:rPr>
      <w:instrText xml:space="preserve"> PAGE   \* MERGEFORMAT </w:instrText>
    </w:r>
    <w:r w:rsidRPr="00C9191C">
      <w:rPr>
        <w:rFonts w:cs="Arial"/>
        <w:sz w:val="20"/>
        <w:szCs w:val="20"/>
      </w:rPr>
      <w:fldChar w:fldCharType="separate"/>
    </w:r>
    <w:r w:rsidR="00B17661">
      <w:rPr>
        <w:rFonts w:cs="Arial"/>
        <w:noProof/>
        <w:sz w:val="20"/>
        <w:szCs w:val="20"/>
      </w:rPr>
      <w:t>33</w:t>
    </w:r>
    <w:r w:rsidRPr="00C9191C">
      <w:rPr>
        <w:rFonts w:cs="Arial"/>
        <w:sz w:val="20"/>
        <w:szCs w:val="20"/>
      </w:rPr>
      <w:fldChar w:fldCharType="end"/>
    </w:r>
  </w:p>
  <w:p w:rsidR="00FA1765" w:rsidRDefault="00FA1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AF0" w:rsidRDefault="00872AF0" w:rsidP="00212E26">
      <w:pPr>
        <w:spacing w:after="0" w:line="240" w:lineRule="auto"/>
      </w:pPr>
      <w:r>
        <w:separator/>
      </w:r>
    </w:p>
  </w:footnote>
  <w:footnote w:type="continuationSeparator" w:id="0">
    <w:p w:rsidR="00872AF0" w:rsidRDefault="00872AF0" w:rsidP="00212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65" w:rsidRDefault="00FA1765">
    <w:pPr>
      <w:pStyle w:val="Header"/>
    </w:pPr>
  </w:p>
  <w:p w:rsidR="00FA1765" w:rsidRDefault="00FA1765">
    <w:pPr>
      <w:pStyle w:val="Header"/>
    </w:pPr>
  </w:p>
  <w:p w:rsidR="00FA1765" w:rsidRDefault="00FA17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26E2"/>
    <w:multiLevelType w:val="hybridMultilevel"/>
    <w:tmpl w:val="A8CAEDB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06C27A99"/>
    <w:multiLevelType w:val="hybridMultilevel"/>
    <w:tmpl w:val="5774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D53B7"/>
    <w:multiLevelType w:val="hybridMultilevel"/>
    <w:tmpl w:val="9CBC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8291D"/>
    <w:multiLevelType w:val="hybridMultilevel"/>
    <w:tmpl w:val="CA4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F207C"/>
    <w:multiLevelType w:val="hybridMultilevel"/>
    <w:tmpl w:val="F6F262D0"/>
    <w:lvl w:ilvl="0" w:tplc="2EFCDF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E4695"/>
    <w:multiLevelType w:val="hybridMultilevel"/>
    <w:tmpl w:val="0914859A"/>
    <w:lvl w:ilvl="0" w:tplc="DCBC93BC">
      <w:start w:val="1"/>
      <w:numFmt w:val="bullet"/>
      <w:lvlText w:val="•"/>
      <w:lvlJc w:val="left"/>
      <w:pPr>
        <w:tabs>
          <w:tab w:val="num" w:pos="720"/>
        </w:tabs>
        <w:ind w:left="720" w:hanging="360"/>
      </w:pPr>
      <w:rPr>
        <w:rFonts w:ascii="Times New Roman" w:hAnsi="Times New Roman" w:hint="default"/>
      </w:rPr>
    </w:lvl>
    <w:lvl w:ilvl="1" w:tplc="2A0449A6" w:tentative="1">
      <w:start w:val="1"/>
      <w:numFmt w:val="bullet"/>
      <w:lvlText w:val="•"/>
      <w:lvlJc w:val="left"/>
      <w:pPr>
        <w:tabs>
          <w:tab w:val="num" w:pos="1440"/>
        </w:tabs>
        <w:ind w:left="1440" w:hanging="360"/>
      </w:pPr>
      <w:rPr>
        <w:rFonts w:ascii="Times New Roman" w:hAnsi="Times New Roman" w:hint="default"/>
      </w:rPr>
    </w:lvl>
    <w:lvl w:ilvl="2" w:tplc="E594DBAA" w:tentative="1">
      <w:start w:val="1"/>
      <w:numFmt w:val="bullet"/>
      <w:lvlText w:val="•"/>
      <w:lvlJc w:val="left"/>
      <w:pPr>
        <w:tabs>
          <w:tab w:val="num" w:pos="2160"/>
        </w:tabs>
        <w:ind w:left="2160" w:hanging="360"/>
      </w:pPr>
      <w:rPr>
        <w:rFonts w:ascii="Times New Roman" w:hAnsi="Times New Roman" w:hint="default"/>
      </w:rPr>
    </w:lvl>
    <w:lvl w:ilvl="3" w:tplc="98AA346C" w:tentative="1">
      <w:start w:val="1"/>
      <w:numFmt w:val="bullet"/>
      <w:lvlText w:val="•"/>
      <w:lvlJc w:val="left"/>
      <w:pPr>
        <w:tabs>
          <w:tab w:val="num" w:pos="2880"/>
        </w:tabs>
        <w:ind w:left="2880" w:hanging="360"/>
      </w:pPr>
      <w:rPr>
        <w:rFonts w:ascii="Times New Roman" w:hAnsi="Times New Roman" w:hint="default"/>
      </w:rPr>
    </w:lvl>
    <w:lvl w:ilvl="4" w:tplc="9BC67E12" w:tentative="1">
      <w:start w:val="1"/>
      <w:numFmt w:val="bullet"/>
      <w:lvlText w:val="•"/>
      <w:lvlJc w:val="left"/>
      <w:pPr>
        <w:tabs>
          <w:tab w:val="num" w:pos="3600"/>
        </w:tabs>
        <w:ind w:left="3600" w:hanging="360"/>
      </w:pPr>
      <w:rPr>
        <w:rFonts w:ascii="Times New Roman" w:hAnsi="Times New Roman" w:hint="default"/>
      </w:rPr>
    </w:lvl>
    <w:lvl w:ilvl="5" w:tplc="EC2E1ED2" w:tentative="1">
      <w:start w:val="1"/>
      <w:numFmt w:val="bullet"/>
      <w:lvlText w:val="•"/>
      <w:lvlJc w:val="left"/>
      <w:pPr>
        <w:tabs>
          <w:tab w:val="num" w:pos="4320"/>
        </w:tabs>
        <w:ind w:left="4320" w:hanging="360"/>
      </w:pPr>
      <w:rPr>
        <w:rFonts w:ascii="Times New Roman" w:hAnsi="Times New Roman" w:hint="default"/>
      </w:rPr>
    </w:lvl>
    <w:lvl w:ilvl="6" w:tplc="CA4EB3F2" w:tentative="1">
      <w:start w:val="1"/>
      <w:numFmt w:val="bullet"/>
      <w:lvlText w:val="•"/>
      <w:lvlJc w:val="left"/>
      <w:pPr>
        <w:tabs>
          <w:tab w:val="num" w:pos="5040"/>
        </w:tabs>
        <w:ind w:left="5040" w:hanging="360"/>
      </w:pPr>
      <w:rPr>
        <w:rFonts w:ascii="Times New Roman" w:hAnsi="Times New Roman" w:hint="default"/>
      </w:rPr>
    </w:lvl>
    <w:lvl w:ilvl="7" w:tplc="D5743F92" w:tentative="1">
      <w:start w:val="1"/>
      <w:numFmt w:val="bullet"/>
      <w:lvlText w:val="•"/>
      <w:lvlJc w:val="left"/>
      <w:pPr>
        <w:tabs>
          <w:tab w:val="num" w:pos="5760"/>
        </w:tabs>
        <w:ind w:left="5760" w:hanging="360"/>
      </w:pPr>
      <w:rPr>
        <w:rFonts w:ascii="Times New Roman" w:hAnsi="Times New Roman" w:hint="default"/>
      </w:rPr>
    </w:lvl>
    <w:lvl w:ilvl="8" w:tplc="57FE052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D8F4A7E"/>
    <w:multiLevelType w:val="hybridMultilevel"/>
    <w:tmpl w:val="2870B866"/>
    <w:lvl w:ilvl="0" w:tplc="4588083A">
      <w:start w:val="41"/>
      <w:numFmt w:val="bullet"/>
      <w:lvlText w:val="•"/>
      <w:lvlJc w:val="left"/>
      <w:pPr>
        <w:ind w:left="786" w:hanging="360"/>
      </w:pPr>
      <w:rPr>
        <w:rFonts w:ascii="Calibri" w:eastAsiaTheme="minorHAnsi" w:hAnsi="Calibri" w:cs="SymbolMT"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0EEF1D98"/>
    <w:multiLevelType w:val="hybridMultilevel"/>
    <w:tmpl w:val="F156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74F25"/>
    <w:multiLevelType w:val="hybridMultilevel"/>
    <w:tmpl w:val="368C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629B7"/>
    <w:multiLevelType w:val="hybridMultilevel"/>
    <w:tmpl w:val="13D4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03F71"/>
    <w:multiLevelType w:val="hybridMultilevel"/>
    <w:tmpl w:val="5FE2E8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0753E"/>
    <w:multiLevelType w:val="hybridMultilevel"/>
    <w:tmpl w:val="35BA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03DA1"/>
    <w:multiLevelType w:val="hybridMultilevel"/>
    <w:tmpl w:val="1C146C44"/>
    <w:lvl w:ilvl="0" w:tplc="DDC0935A">
      <w:start w:val="1"/>
      <w:numFmt w:val="bullet"/>
      <w:lvlText w:val="•"/>
      <w:lvlJc w:val="left"/>
      <w:pPr>
        <w:tabs>
          <w:tab w:val="num" w:pos="720"/>
        </w:tabs>
        <w:ind w:left="720" w:hanging="360"/>
      </w:pPr>
      <w:rPr>
        <w:rFonts w:ascii="Times New Roman" w:hAnsi="Times New Roman" w:hint="default"/>
      </w:rPr>
    </w:lvl>
    <w:lvl w:ilvl="1" w:tplc="80629F94" w:tentative="1">
      <w:start w:val="1"/>
      <w:numFmt w:val="bullet"/>
      <w:lvlText w:val="•"/>
      <w:lvlJc w:val="left"/>
      <w:pPr>
        <w:tabs>
          <w:tab w:val="num" w:pos="1440"/>
        </w:tabs>
        <w:ind w:left="1440" w:hanging="360"/>
      </w:pPr>
      <w:rPr>
        <w:rFonts w:ascii="Times New Roman" w:hAnsi="Times New Roman" w:hint="default"/>
      </w:rPr>
    </w:lvl>
    <w:lvl w:ilvl="2" w:tplc="74D6BD34" w:tentative="1">
      <w:start w:val="1"/>
      <w:numFmt w:val="bullet"/>
      <w:lvlText w:val="•"/>
      <w:lvlJc w:val="left"/>
      <w:pPr>
        <w:tabs>
          <w:tab w:val="num" w:pos="2160"/>
        </w:tabs>
        <w:ind w:left="2160" w:hanging="360"/>
      </w:pPr>
      <w:rPr>
        <w:rFonts w:ascii="Times New Roman" w:hAnsi="Times New Roman" w:hint="default"/>
      </w:rPr>
    </w:lvl>
    <w:lvl w:ilvl="3" w:tplc="EB2480F8" w:tentative="1">
      <w:start w:val="1"/>
      <w:numFmt w:val="bullet"/>
      <w:lvlText w:val="•"/>
      <w:lvlJc w:val="left"/>
      <w:pPr>
        <w:tabs>
          <w:tab w:val="num" w:pos="2880"/>
        </w:tabs>
        <w:ind w:left="2880" w:hanging="360"/>
      </w:pPr>
      <w:rPr>
        <w:rFonts w:ascii="Times New Roman" w:hAnsi="Times New Roman" w:hint="default"/>
      </w:rPr>
    </w:lvl>
    <w:lvl w:ilvl="4" w:tplc="1A2C6D12" w:tentative="1">
      <w:start w:val="1"/>
      <w:numFmt w:val="bullet"/>
      <w:lvlText w:val="•"/>
      <w:lvlJc w:val="left"/>
      <w:pPr>
        <w:tabs>
          <w:tab w:val="num" w:pos="3600"/>
        </w:tabs>
        <w:ind w:left="3600" w:hanging="360"/>
      </w:pPr>
      <w:rPr>
        <w:rFonts w:ascii="Times New Roman" w:hAnsi="Times New Roman" w:hint="default"/>
      </w:rPr>
    </w:lvl>
    <w:lvl w:ilvl="5" w:tplc="CD8E5682" w:tentative="1">
      <w:start w:val="1"/>
      <w:numFmt w:val="bullet"/>
      <w:lvlText w:val="•"/>
      <w:lvlJc w:val="left"/>
      <w:pPr>
        <w:tabs>
          <w:tab w:val="num" w:pos="4320"/>
        </w:tabs>
        <w:ind w:left="4320" w:hanging="360"/>
      </w:pPr>
      <w:rPr>
        <w:rFonts w:ascii="Times New Roman" w:hAnsi="Times New Roman" w:hint="default"/>
      </w:rPr>
    </w:lvl>
    <w:lvl w:ilvl="6" w:tplc="25DCBFE6" w:tentative="1">
      <w:start w:val="1"/>
      <w:numFmt w:val="bullet"/>
      <w:lvlText w:val="•"/>
      <w:lvlJc w:val="left"/>
      <w:pPr>
        <w:tabs>
          <w:tab w:val="num" w:pos="5040"/>
        </w:tabs>
        <w:ind w:left="5040" w:hanging="360"/>
      </w:pPr>
      <w:rPr>
        <w:rFonts w:ascii="Times New Roman" w:hAnsi="Times New Roman" w:hint="default"/>
      </w:rPr>
    </w:lvl>
    <w:lvl w:ilvl="7" w:tplc="57B08962" w:tentative="1">
      <w:start w:val="1"/>
      <w:numFmt w:val="bullet"/>
      <w:lvlText w:val="•"/>
      <w:lvlJc w:val="left"/>
      <w:pPr>
        <w:tabs>
          <w:tab w:val="num" w:pos="5760"/>
        </w:tabs>
        <w:ind w:left="5760" w:hanging="360"/>
      </w:pPr>
      <w:rPr>
        <w:rFonts w:ascii="Times New Roman" w:hAnsi="Times New Roman" w:hint="default"/>
      </w:rPr>
    </w:lvl>
    <w:lvl w:ilvl="8" w:tplc="01162B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BFB27DB"/>
    <w:multiLevelType w:val="hybridMultilevel"/>
    <w:tmpl w:val="4D78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33774"/>
    <w:multiLevelType w:val="hybridMultilevel"/>
    <w:tmpl w:val="927054C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3BC1FA4"/>
    <w:multiLevelType w:val="hybridMultilevel"/>
    <w:tmpl w:val="93BAB14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42254E5"/>
    <w:multiLevelType w:val="hybridMultilevel"/>
    <w:tmpl w:val="9166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76AC8"/>
    <w:multiLevelType w:val="hybridMultilevel"/>
    <w:tmpl w:val="5F56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FC6933"/>
    <w:multiLevelType w:val="hybridMultilevel"/>
    <w:tmpl w:val="87B2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B0823"/>
    <w:multiLevelType w:val="hybridMultilevel"/>
    <w:tmpl w:val="7C60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97278"/>
    <w:multiLevelType w:val="hybridMultilevel"/>
    <w:tmpl w:val="90C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900990"/>
    <w:multiLevelType w:val="hybridMultilevel"/>
    <w:tmpl w:val="3252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B583A"/>
    <w:multiLevelType w:val="hybridMultilevel"/>
    <w:tmpl w:val="AC38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472213"/>
    <w:multiLevelType w:val="hybridMultilevel"/>
    <w:tmpl w:val="6A36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992DFC"/>
    <w:multiLevelType w:val="hybridMultilevel"/>
    <w:tmpl w:val="C372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CA3207"/>
    <w:multiLevelType w:val="hybridMultilevel"/>
    <w:tmpl w:val="E142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C07C3F"/>
    <w:multiLevelType w:val="hybridMultilevel"/>
    <w:tmpl w:val="77C89C2A"/>
    <w:lvl w:ilvl="0" w:tplc="08090001">
      <w:start w:val="1"/>
      <w:numFmt w:val="lowerLetter"/>
      <w:lvlText w:val="%1)"/>
      <w:lvlJc w:val="left"/>
      <w:pPr>
        <w:ind w:left="720" w:hanging="360"/>
      </w:pPr>
      <w:rPr>
        <w:rFonts w:hint="default"/>
      </w:rPr>
    </w:lvl>
    <w:lvl w:ilvl="1" w:tplc="77323888">
      <w:start w:val="1"/>
      <w:numFmt w:val="decimal"/>
      <w:lvlText w:val="%2."/>
      <w:lvlJc w:val="left"/>
      <w:pPr>
        <w:ind w:left="1440" w:hanging="36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15:restartNumberingAfterBreak="0">
    <w:nsid w:val="3EA33C3E"/>
    <w:multiLevelType w:val="hybridMultilevel"/>
    <w:tmpl w:val="C1D4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C08E9"/>
    <w:multiLevelType w:val="hybridMultilevel"/>
    <w:tmpl w:val="2F508C70"/>
    <w:lvl w:ilvl="0" w:tplc="08090001">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44ED7ECF"/>
    <w:multiLevelType w:val="hybridMultilevel"/>
    <w:tmpl w:val="29588A5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0" w15:restartNumberingAfterBreak="0">
    <w:nsid w:val="45E8203E"/>
    <w:multiLevelType w:val="hybridMultilevel"/>
    <w:tmpl w:val="1F2AD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543DF4"/>
    <w:multiLevelType w:val="hybridMultilevel"/>
    <w:tmpl w:val="FE7C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9048F"/>
    <w:multiLevelType w:val="hybridMultilevel"/>
    <w:tmpl w:val="7E78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916F70"/>
    <w:multiLevelType w:val="hybridMultilevel"/>
    <w:tmpl w:val="D568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951D0C"/>
    <w:multiLevelType w:val="hybridMultilevel"/>
    <w:tmpl w:val="30768120"/>
    <w:lvl w:ilvl="0" w:tplc="0809000F">
      <w:start w:val="1"/>
      <w:numFmt w:val="decimal"/>
      <w:lvlText w:val="%1."/>
      <w:lvlJc w:val="left"/>
      <w:pPr>
        <w:tabs>
          <w:tab w:val="num" w:pos="720"/>
        </w:tabs>
        <w:ind w:left="720" w:hanging="360"/>
      </w:pPr>
      <w:rPr>
        <w:rFonts w:hint="default"/>
      </w:rPr>
    </w:lvl>
    <w:lvl w:ilvl="1" w:tplc="80629F94" w:tentative="1">
      <w:start w:val="1"/>
      <w:numFmt w:val="bullet"/>
      <w:lvlText w:val="•"/>
      <w:lvlJc w:val="left"/>
      <w:pPr>
        <w:tabs>
          <w:tab w:val="num" w:pos="1440"/>
        </w:tabs>
        <w:ind w:left="1440" w:hanging="360"/>
      </w:pPr>
      <w:rPr>
        <w:rFonts w:ascii="Times New Roman" w:hAnsi="Times New Roman" w:hint="default"/>
      </w:rPr>
    </w:lvl>
    <w:lvl w:ilvl="2" w:tplc="74D6BD34" w:tentative="1">
      <w:start w:val="1"/>
      <w:numFmt w:val="bullet"/>
      <w:lvlText w:val="•"/>
      <w:lvlJc w:val="left"/>
      <w:pPr>
        <w:tabs>
          <w:tab w:val="num" w:pos="2160"/>
        </w:tabs>
        <w:ind w:left="2160" w:hanging="360"/>
      </w:pPr>
      <w:rPr>
        <w:rFonts w:ascii="Times New Roman" w:hAnsi="Times New Roman" w:hint="default"/>
      </w:rPr>
    </w:lvl>
    <w:lvl w:ilvl="3" w:tplc="EB2480F8" w:tentative="1">
      <w:start w:val="1"/>
      <w:numFmt w:val="bullet"/>
      <w:lvlText w:val="•"/>
      <w:lvlJc w:val="left"/>
      <w:pPr>
        <w:tabs>
          <w:tab w:val="num" w:pos="2880"/>
        </w:tabs>
        <w:ind w:left="2880" w:hanging="360"/>
      </w:pPr>
      <w:rPr>
        <w:rFonts w:ascii="Times New Roman" w:hAnsi="Times New Roman" w:hint="default"/>
      </w:rPr>
    </w:lvl>
    <w:lvl w:ilvl="4" w:tplc="1A2C6D12" w:tentative="1">
      <w:start w:val="1"/>
      <w:numFmt w:val="bullet"/>
      <w:lvlText w:val="•"/>
      <w:lvlJc w:val="left"/>
      <w:pPr>
        <w:tabs>
          <w:tab w:val="num" w:pos="3600"/>
        </w:tabs>
        <w:ind w:left="3600" w:hanging="360"/>
      </w:pPr>
      <w:rPr>
        <w:rFonts w:ascii="Times New Roman" w:hAnsi="Times New Roman" w:hint="default"/>
      </w:rPr>
    </w:lvl>
    <w:lvl w:ilvl="5" w:tplc="CD8E5682" w:tentative="1">
      <w:start w:val="1"/>
      <w:numFmt w:val="bullet"/>
      <w:lvlText w:val="•"/>
      <w:lvlJc w:val="left"/>
      <w:pPr>
        <w:tabs>
          <w:tab w:val="num" w:pos="4320"/>
        </w:tabs>
        <w:ind w:left="4320" w:hanging="360"/>
      </w:pPr>
      <w:rPr>
        <w:rFonts w:ascii="Times New Roman" w:hAnsi="Times New Roman" w:hint="default"/>
      </w:rPr>
    </w:lvl>
    <w:lvl w:ilvl="6" w:tplc="25DCBFE6" w:tentative="1">
      <w:start w:val="1"/>
      <w:numFmt w:val="bullet"/>
      <w:lvlText w:val="•"/>
      <w:lvlJc w:val="left"/>
      <w:pPr>
        <w:tabs>
          <w:tab w:val="num" w:pos="5040"/>
        </w:tabs>
        <w:ind w:left="5040" w:hanging="360"/>
      </w:pPr>
      <w:rPr>
        <w:rFonts w:ascii="Times New Roman" w:hAnsi="Times New Roman" w:hint="default"/>
      </w:rPr>
    </w:lvl>
    <w:lvl w:ilvl="7" w:tplc="57B08962" w:tentative="1">
      <w:start w:val="1"/>
      <w:numFmt w:val="bullet"/>
      <w:lvlText w:val="•"/>
      <w:lvlJc w:val="left"/>
      <w:pPr>
        <w:tabs>
          <w:tab w:val="num" w:pos="5760"/>
        </w:tabs>
        <w:ind w:left="5760" w:hanging="360"/>
      </w:pPr>
      <w:rPr>
        <w:rFonts w:ascii="Times New Roman" w:hAnsi="Times New Roman" w:hint="default"/>
      </w:rPr>
    </w:lvl>
    <w:lvl w:ilvl="8" w:tplc="01162B0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2CA46CB"/>
    <w:multiLevelType w:val="hybridMultilevel"/>
    <w:tmpl w:val="F5E0535A"/>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7FE6836"/>
    <w:multiLevelType w:val="hybridMultilevel"/>
    <w:tmpl w:val="6824C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3D63D6"/>
    <w:multiLevelType w:val="hybridMultilevel"/>
    <w:tmpl w:val="7A4AEDBE"/>
    <w:lvl w:ilvl="0" w:tplc="08090001">
      <w:start w:val="1"/>
      <w:numFmt w:val="bullet"/>
      <w:lvlText w:val=""/>
      <w:lvlJc w:val="left"/>
      <w:pPr>
        <w:ind w:left="720" w:hanging="360"/>
      </w:pPr>
      <w:rPr>
        <w:rFonts w:ascii="Symbol" w:hAnsi="Symbol" w:hint="default"/>
      </w:rPr>
    </w:lvl>
    <w:lvl w:ilvl="1" w:tplc="08090001"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5E4F98"/>
    <w:multiLevelType w:val="hybridMultilevel"/>
    <w:tmpl w:val="3B64EE66"/>
    <w:lvl w:ilvl="0" w:tplc="4588083A">
      <w:start w:val="41"/>
      <w:numFmt w:val="bullet"/>
      <w:lvlText w:val="•"/>
      <w:lvlJc w:val="left"/>
      <w:pPr>
        <w:ind w:left="1778" w:hanging="360"/>
      </w:pPr>
      <w:rPr>
        <w:rFonts w:ascii="Calibri" w:eastAsiaTheme="minorHAnsi" w:hAnsi="Calibri" w:cs="SymbolMT"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2C6FBE"/>
    <w:multiLevelType w:val="hybridMultilevel"/>
    <w:tmpl w:val="C944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C300EF"/>
    <w:multiLevelType w:val="hybridMultilevel"/>
    <w:tmpl w:val="5B0C4C4E"/>
    <w:lvl w:ilvl="0" w:tplc="08090001">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1" w15:restartNumberingAfterBreak="0">
    <w:nsid w:val="5E4965DE"/>
    <w:multiLevelType w:val="hybridMultilevel"/>
    <w:tmpl w:val="A856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C24929"/>
    <w:multiLevelType w:val="hybridMultilevel"/>
    <w:tmpl w:val="ABCE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4154E2"/>
    <w:multiLevelType w:val="hybridMultilevel"/>
    <w:tmpl w:val="650C195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4" w15:restartNumberingAfterBreak="0">
    <w:nsid w:val="62A4080A"/>
    <w:multiLevelType w:val="hybridMultilevel"/>
    <w:tmpl w:val="2328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D56775"/>
    <w:multiLevelType w:val="hybridMultilevel"/>
    <w:tmpl w:val="7AD2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50475C"/>
    <w:multiLevelType w:val="hybridMultilevel"/>
    <w:tmpl w:val="A4AAB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AD6539"/>
    <w:multiLevelType w:val="hybridMultilevel"/>
    <w:tmpl w:val="7822109A"/>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10"/>
  </w:num>
  <w:num w:numId="2">
    <w:abstractNumId w:val="2"/>
  </w:num>
  <w:num w:numId="3">
    <w:abstractNumId w:val="44"/>
  </w:num>
  <w:num w:numId="4">
    <w:abstractNumId w:val="31"/>
  </w:num>
  <w:num w:numId="5">
    <w:abstractNumId w:val="13"/>
  </w:num>
  <w:num w:numId="6">
    <w:abstractNumId w:val="30"/>
  </w:num>
  <w:num w:numId="7">
    <w:abstractNumId w:val="17"/>
  </w:num>
  <w:num w:numId="8">
    <w:abstractNumId w:val="38"/>
  </w:num>
  <w:num w:numId="9">
    <w:abstractNumId w:val="6"/>
  </w:num>
  <w:num w:numId="10">
    <w:abstractNumId w:val="35"/>
  </w:num>
  <w:num w:numId="11">
    <w:abstractNumId w:val="46"/>
  </w:num>
  <w:num w:numId="12">
    <w:abstractNumId w:val="45"/>
  </w:num>
  <w:num w:numId="13">
    <w:abstractNumId w:val="22"/>
  </w:num>
  <w:num w:numId="14">
    <w:abstractNumId w:val="9"/>
  </w:num>
  <w:num w:numId="15">
    <w:abstractNumId w:val="23"/>
  </w:num>
  <w:num w:numId="16">
    <w:abstractNumId w:val="32"/>
  </w:num>
  <w:num w:numId="17">
    <w:abstractNumId w:val="19"/>
  </w:num>
  <w:num w:numId="18">
    <w:abstractNumId w:val="18"/>
  </w:num>
  <w:num w:numId="19">
    <w:abstractNumId w:val="24"/>
  </w:num>
  <w:num w:numId="20">
    <w:abstractNumId w:val="37"/>
  </w:num>
  <w:num w:numId="21">
    <w:abstractNumId w:val="7"/>
  </w:num>
  <w:num w:numId="22">
    <w:abstractNumId w:val="41"/>
  </w:num>
  <w:num w:numId="23">
    <w:abstractNumId w:val="8"/>
  </w:num>
  <w:num w:numId="24">
    <w:abstractNumId w:val="27"/>
  </w:num>
  <w:num w:numId="25">
    <w:abstractNumId w:val="0"/>
  </w:num>
  <w:num w:numId="26">
    <w:abstractNumId w:val="29"/>
  </w:num>
  <w:num w:numId="27">
    <w:abstractNumId w:val="3"/>
  </w:num>
  <w:num w:numId="28">
    <w:abstractNumId w:val="11"/>
  </w:num>
  <w:num w:numId="29">
    <w:abstractNumId w:val="43"/>
  </w:num>
  <w:num w:numId="30">
    <w:abstractNumId w:val="39"/>
  </w:num>
  <w:num w:numId="31">
    <w:abstractNumId w:val="15"/>
  </w:num>
  <w:num w:numId="32">
    <w:abstractNumId w:val="42"/>
  </w:num>
  <w:num w:numId="33">
    <w:abstractNumId w:val="20"/>
  </w:num>
  <w:num w:numId="34">
    <w:abstractNumId w:val="1"/>
  </w:num>
  <w:num w:numId="35">
    <w:abstractNumId w:val="16"/>
  </w:num>
  <w:num w:numId="36">
    <w:abstractNumId w:val="25"/>
  </w:num>
  <w:num w:numId="37">
    <w:abstractNumId w:val="40"/>
  </w:num>
  <w:num w:numId="38">
    <w:abstractNumId w:val="47"/>
  </w:num>
  <w:num w:numId="39">
    <w:abstractNumId w:val="28"/>
  </w:num>
  <w:num w:numId="40">
    <w:abstractNumId w:val="4"/>
  </w:num>
  <w:num w:numId="41">
    <w:abstractNumId w:val="26"/>
  </w:num>
  <w:num w:numId="42">
    <w:abstractNumId w:val="21"/>
  </w:num>
  <w:num w:numId="43">
    <w:abstractNumId w:val="14"/>
  </w:num>
  <w:num w:numId="44">
    <w:abstractNumId w:val="33"/>
  </w:num>
  <w:num w:numId="45">
    <w:abstractNumId w:val="5"/>
  </w:num>
  <w:num w:numId="46">
    <w:abstractNumId w:val="12"/>
  </w:num>
  <w:num w:numId="47">
    <w:abstractNumId w:val="34"/>
  </w:num>
  <w:num w:numId="48">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10"/>
    <w:rsid w:val="00000713"/>
    <w:rsid w:val="00001FE9"/>
    <w:rsid w:val="00002A46"/>
    <w:rsid w:val="00004398"/>
    <w:rsid w:val="00004DFC"/>
    <w:rsid w:val="00005503"/>
    <w:rsid w:val="000059B5"/>
    <w:rsid w:val="0000638E"/>
    <w:rsid w:val="00006779"/>
    <w:rsid w:val="000108F9"/>
    <w:rsid w:val="000121F2"/>
    <w:rsid w:val="00012408"/>
    <w:rsid w:val="00012F10"/>
    <w:rsid w:val="000149FE"/>
    <w:rsid w:val="000153A8"/>
    <w:rsid w:val="00021283"/>
    <w:rsid w:val="0002172F"/>
    <w:rsid w:val="000221C1"/>
    <w:rsid w:val="000224DC"/>
    <w:rsid w:val="000225C3"/>
    <w:rsid w:val="0002303D"/>
    <w:rsid w:val="00023D54"/>
    <w:rsid w:val="000247D6"/>
    <w:rsid w:val="00025BEF"/>
    <w:rsid w:val="00026C34"/>
    <w:rsid w:val="00026C67"/>
    <w:rsid w:val="000279C8"/>
    <w:rsid w:val="00031737"/>
    <w:rsid w:val="00031C00"/>
    <w:rsid w:val="0003215F"/>
    <w:rsid w:val="00032D23"/>
    <w:rsid w:val="0003428B"/>
    <w:rsid w:val="000343AA"/>
    <w:rsid w:val="00035BBF"/>
    <w:rsid w:val="00035DC3"/>
    <w:rsid w:val="00037472"/>
    <w:rsid w:val="00045A59"/>
    <w:rsid w:val="00050231"/>
    <w:rsid w:val="00050426"/>
    <w:rsid w:val="00050691"/>
    <w:rsid w:val="00053FAB"/>
    <w:rsid w:val="000546CB"/>
    <w:rsid w:val="00054C55"/>
    <w:rsid w:val="00055090"/>
    <w:rsid w:val="00055EFF"/>
    <w:rsid w:val="00063E68"/>
    <w:rsid w:val="000642AC"/>
    <w:rsid w:val="00065A79"/>
    <w:rsid w:val="0006794A"/>
    <w:rsid w:val="000733A5"/>
    <w:rsid w:val="00077A31"/>
    <w:rsid w:val="0008022B"/>
    <w:rsid w:val="00082F0E"/>
    <w:rsid w:val="00086444"/>
    <w:rsid w:val="000875DB"/>
    <w:rsid w:val="0009123F"/>
    <w:rsid w:val="00091EEC"/>
    <w:rsid w:val="0009345E"/>
    <w:rsid w:val="00093744"/>
    <w:rsid w:val="000966F0"/>
    <w:rsid w:val="0009737C"/>
    <w:rsid w:val="000A01C1"/>
    <w:rsid w:val="000A1450"/>
    <w:rsid w:val="000A72E4"/>
    <w:rsid w:val="000A7C05"/>
    <w:rsid w:val="000B0BFE"/>
    <w:rsid w:val="000B6DE6"/>
    <w:rsid w:val="000B76B7"/>
    <w:rsid w:val="000C45D7"/>
    <w:rsid w:val="000C4981"/>
    <w:rsid w:val="000C7DE7"/>
    <w:rsid w:val="000D25DB"/>
    <w:rsid w:val="000D29CD"/>
    <w:rsid w:val="000D3A17"/>
    <w:rsid w:val="000D41C2"/>
    <w:rsid w:val="000D4654"/>
    <w:rsid w:val="000D4D95"/>
    <w:rsid w:val="000D5E33"/>
    <w:rsid w:val="000D70FF"/>
    <w:rsid w:val="000E4DED"/>
    <w:rsid w:val="000E769A"/>
    <w:rsid w:val="000F0F9F"/>
    <w:rsid w:val="000F2CE5"/>
    <w:rsid w:val="000F3CC3"/>
    <w:rsid w:val="000F4507"/>
    <w:rsid w:val="000F5FC4"/>
    <w:rsid w:val="0010034E"/>
    <w:rsid w:val="001012F7"/>
    <w:rsid w:val="00101371"/>
    <w:rsid w:val="0010167E"/>
    <w:rsid w:val="0010185A"/>
    <w:rsid w:val="00104145"/>
    <w:rsid w:val="00104CE2"/>
    <w:rsid w:val="0010655D"/>
    <w:rsid w:val="0010798E"/>
    <w:rsid w:val="00107B8C"/>
    <w:rsid w:val="00111B25"/>
    <w:rsid w:val="00113287"/>
    <w:rsid w:val="001139F1"/>
    <w:rsid w:val="001159BD"/>
    <w:rsid w:val="001172F5"/>
    <w:rsid w:val="001209D7"/>
    <w:rsid w:val="001214FA"/>
    <w:rsid w:val="001221F3"/>
    <w:rsid w:val="00123170"/>
    <w:rsid w:val="0012498A"/>
    <w:rsid w:val="00125B49"/>
    <w:rsid w:val="0012789B"/>
    <w:rsid w:val="00127C56"/>
    <w:rsid w:val="0013016C"/>
    <w:rsid w:val="00130F70"/>
    <w:rsid w:val="00131445"/>
    <w:rsid w:val="00132CF7"/>
    <w:rsid w:val="00134804"/>
    <w:rsid w:val="00136303"/>
    <w:rsid w:val="00137B95"/>
    <w:rsid w:val="001409D3"/>
    <w:rsid w:val="0014446B"/>
    <w:rsid w:val="00145994"/>
    <w:rsid w:val="00146DD2"/>
    <w:rsid w:val="00146DEB"/>
    <w:rsid w:val="001508C5"/>
    <w:rsid w:val="00150DFC"/>
    <w:rsid w:val="001518E3"/>
    <w:rsid w:val="00151929"/>
    <w:rsid w:val="001530E2"/>
    <w:rsid w:val="001532DA"/>
    <w:rsid w:val="00154907"/>
    <w:rsid w:val="001562F6"/>
    <w:rsid w:val="00156452"/>
    <w:rsid w:val="00157F19"/>
    <w:rsid w:val="00157FB9"/>
    <w:rsid w:val="001629EF"/>
    <w:rsid w:val="0016506F"/>
    <w:rsid w:val="001664EC"/>
    <w:rsid w:val="001670E3"/>
    <w:rsid w:val="00167A80"/>
    <w:rsid w:val="00172233"/>
    <w:rsid w:val="00172507"/>
    <w:rsid w:val="00173E13"/>
    <w:rsid w:val="00173FD2"/>
    <w:rsid w:val="00175C6B"/>
    <w:rsid w:val="00175CC7"/>
    <w:rsid w:val="0017752D"/>
    <w:rsid w:val="00180460"/>
    <w:rsid w:val="00183BD3"/>
    <w:rsid w:val="001859F2"/>
    <w:rsid w:val="00186FDB"/>
    <w:rsid w:val="00187A69"/>
    <w:rsid w:val="00187C20"/>
    <w:rsid w:val="00187ECF"/>
    <w:rsid w:val="00190D23"/>
    <w:rsid w:val="00193356"/>
    <w:rsid w:val="00193F61"/>
    <w:rsid w:val="001947DC"/>
    <w:rsid w:val="00197B6B"/>
    <w:rsid w:val="001A0E8F"/>
    <w:rsid w:val="001A13AA"/>
    <w:rsid w:val="001A182E"/>
    <w:rsid w:val="001A64C4"/>
    <w:rsid w:val="001B17A3"/>
    <w:rsid w:val="001B1ED6"/>
    <w:rsid w:val="001B5AE4"/>
    <w:rsid w:val="001C0BA2"/>
    <w:rsid w:val="001C1EFE"/>
    <w:rsid w:val="001C1FB8"/>
    <w:rsid w:val="001C41C8"/>
    <w:rsid w:val="001C5990"/>
    <w:rsid w:val="001C5B29"/>
    <w:rsid w:val="001C7B68"/>
    <w:rsid w:val="001D2B8D"/>
    <w:rsid w:val="001D2B94"/>
    <w:rsid w:val="001D3167"/>
    <w:rsid w:val="001D323F"/>
    <w:rsid w:val="001D35B1"/>
    <w:rsid w:val="001D5CBF"/>
    <w:rsid w:val="001D65E5"/>
    <w:rsid w:val="001E1CC2"/>
    <w:rsid w:val="001E2174"/>
    <w:rsid w:val="001E31DC"/>
    <w:rsid w:val="001E3CD9"/>
    <w:rsid w:val="001E466E"/>
    <w:rsid w:val="001E48AF"/>
    <w:rsid w:val="001E4FA5"/>
    <w:rsid w:val="001E547B"/>
    <w:rsid w:val="001F0FE6"/>
    <w:rsid w:val="001F1E12"/>
    <w:rsid w:val="001F1E62"/>
    <w:rsid w:val="001F35E9"/>
    <w:rsid w:val="001F3E37"/>
    <w:rsid w:val="001F4491"/>
    <w:rsid w:val="001F512B"/>
    <w:rsid w:val="001F5A46"/>
    <w:rsid w:val="001F721E"/>
    <w:rsid w:val="00201402"/>
    <w:rsid w:val="00204D65"/>
    <w:rsid w:val="0020668F"/>
    <w:rsid w:val="00206959"/>
    <w:rsid w:val="00206D81"/>
    <w:rsid w:val="002114DB"/>
    <w:rsid w:val="00212566"/>
    <w:rsid w:val="00212E26"/>
    <w:rsid w:val="002131AB"/>
    <w:rsid w:val="00213AF3"/>
    <w:rsid w:val="00214EB7"/>
    <w:rsid w:val="002164BE"/>
    <w:rsid w:val="00222054"/>
    <w:rsid w:val="002220FB"/>
    <w:rsid w:val="002221DD"/>
    <w:rsid w:val="002226A2"/>
    <w:rsid w:val="00222E83"/>
    <w:rsid w:val="00223B80"/>
    <w:rsid w:val="00227286"/>
    <w:rsid w:val="00227BA6"/>
    <w:rsid w:val="00231A8A"/>
    <w:rsid w:val="00232B50"/>
    <w:rsid w:val="002354A9"/>
    <w:rsid w:val="00237238"/>
    <w:rsid w:val="0024303C"/>
    <w:rsid w:val="0024438E"/>
    <w:rsid w:val="00251AF0"/>
    <w:rsid w:val="0025373B"/>
    <w:rsid w:val="00253A11"/>
    <w:rsid w:val="00254493"/>
    <w:rsid w:val="002545FC"/>
    <w:rsid w:val="00256528"/>
    <w:rsid w:val="00260070"/>
    <w:rsid w:val="00261D15"/>
    <w:rsid w:val="002623E0"/>
    <w:rsid w:val="00262E4A"/>
    <w:rsid w:val="00263C36"/>
    <w:rsid w:val="00265E96"/>
    <w:rsid w:val="00273D92"/>
    <w:rsid w:val="00273ED4"/>
    <w:rsid w:val="002750FB"/>
    <w:rsid w:val="00275AA8"/>
    <w:rsid w:val="00276C92"/>
    <w:rsid w:val="00277359"/>
    <w:rsid w:val="002800AE"/>
    <w:rsid w:val="002814D4"/>
    <w:rsid w:val="00281F1E"/>
    <w:rsid w:val="00282885"/>
    <w:rsid w:val="00285EC1"/>
    <w:rsid w:val="002871EC"/>
    <w:rsid w:val="00287A46"/>
    <w:rsid w:val="00290051"/>
    <w:rsid w:val="00292261"/>
    <w:rsid w:val="00292A3D"/>
    <w:rsid w:val="00292CCF"/>
    <w:rsid w:val="002944B1"/>
    <w:rsid w:val="00294FF7"/>
    <w:rsid w:val="00296825"/>
    <w:rsid w:val="002A157B"/>
    <w:rsid w:val="002A17BC"/>
    <w:rsid w:val="002A259F"/>
    <w:rsid w:val="002A2FC9"/>
    <w:rsid w:val="002A3530"/>
    <w:rsid w:val="002A3B51"/>
    <w:rsid w:val="002A6A62"/>
    <w:rsid w:val="002B26C5"/>
    <w:rsid w:val="002B4581"/>
    <w:rsid w:val="002B60EF"/>
    <w:rsid w:val="002B6884"/>
    <w:rsid w:val="002B6B6E"/>
    <w:rsid w:val="002B7016"/>
    <w:rsid w:val="002B7953"/>
    <w:rsid w:val="002B7BB9"/>
    <w:rsid w:val="002C1AF0"/>
    <w:rsid w:val="002C25E5"/>
    <w:rsid w:val="002C33D2"/>
    <w:rsid w:val="002C4B65"/>
    <w:rsid w:val="002C6071"/>
    <w:rsid w:val="002C625B"/>
    <w:rsid w:val="002C628B"/>
    <w:rsid w:val="002C6F70"/>
    <w:rsid w:val="002D080E"/>
    <w:rsid w:val="002D172D"/>
    <w:rsid w:val="002D36FF"/>
    <w:rsid w:val="002D6F7D"/>
    <w:rsid w:val="002E1952"/>
    <w:rsid w:val="002E2AF3"/>
    <w:rsid w:val="002F0F76"/>
    <w:rsid w:val="002F304D"/>
    <w:rsid w:val="002F6367"/>
    <w:rsid w:val="002F776A"/>
    <w:rsid w:val="002F7A4D"/>
    <w:rsid w:val="0030056B"/>
    <w:rsid w:val="003018E0"/>
    <w:rsid w:val="00302F5C"/>
    <w:rsid w:val="00302FA8"/>
    <w:rsid w:val="0030353D"/>
    <w:rsid w:val="003043D6"/>
    <w:rsid w:val="003056D7"/>
    <w:rsid w:val="0031241D"/>
    <w:rsid w:val="0031401D"/>
    <w:rsid w:val="00320273"/>
    <w:rsid w:val="00325908"/>
    <w:rsid w:val="003259FB"/>
    <w:rsid w:val="003266A2"/>
    <w:rsid w:val="00327FD0"/>
    <w:rsid w:val="003317C3"/>
    <w:rsid w:val="0033211C"/>
    <w:rsid w:val="00332FB3"/>
    <w:rsid w:val="00334EF8"/>
    <w:rsid w:val="0033503D"/>
    <w:rsid w:val="003362DB"/>
    <w:rsid w:val="0034002A"/>
    <w:rsid w:val="00342F00"/>
    <w:rsid w:val="00344E95"/>
    <w:rsid w:val="003459F6"/>
    <w:rsid w:val="00350011"/>
    <w:rsid w:val="0035080B"/>
    <w:rsid w:val="0035125E"/>
    <w:rsid w:val="003546DB"/>
    <w:rsid w:val="00354FF9"/>
    <w:rsid w:val="0035502F"/>
    <w:rsid w:val="00360FC4"/>
    <w:rsid w:val="0036124B"/>
    <w:rsid w:val="00362BD7"/>
    <w:rsid w:val="0036310E"/>
    <w:rsid w:val="003650E6"/>
    <w:rsid w:val="003658FE"/>
    <w:rsid w:val="00366598"/>
    <w:rsid w:val="00366619"/>
    <w:rsid w:val="00370360"/>
    <w:rsid w:val="00371623"/>
    <w:rsid w:val="003731B3"/>
    <w:rsid w:val="00373AD0"/>
    <w:rsid w:val="00373E68"/>
    <w:rsid w:val="003740E1"/>
    <w:rsid w:val="0037465C"/>
    <w:rsid w:val="003746A7"/>
    <w:rsid w:val="00374D19"/>
    <w:rsid w:val="00374D39"/>
    <w:rsid w:val="003750F2"/>
    <w:rsid w:val="003758F1"/>
    <w:rsid w:val="003761B9"/>
    <w:rsid w:val="003769E7"/>
    <w:rsid w:val="00382E4C"/>
    <w:rsid w:val="003848AA"/>
    <w:rsid w:val="00384934"/>
    <w:rsid w:val="00384D1B"/>
    <w:rsid w:val="00385188"/>
    <w:rsid w:val="003860A7"/>
    <w:rsid w:val="00387530"/>
    <w:rsid w:val="00392B9B"/>
    <w:rsid w:val="00392C3F"/>
    <w:rsid w:val="003934ED"/>
    <w:rsid w:val="00394603"/>
    <w:rsid w:val="003A04E6"/>
    <w:rsid w:val="003A0C00"/>
    <w:rsid w:val="003A1E94"/>
    <w:rsid w:val="003A2017"/>
    <w:rsid w:val="003A21CC"/>
    <w:rsid w:val="003A25A3"/>
    <w:rsid w:val="003A5088"/>
    <w:rsid w:val="003A55D6"/>
    <w:rsid w:val="003A680B"/>
    <w:rsid w:val="003B0F92"/>
    <w:rsid w:val="003B2397"/>
    <w:rsid w:val="003B2859"/>
    <w:rsid w:val="003B5422"/>
    <w:rsid w:val="003B690F"/>
    <w:rsid w:val="003B7D8F"/>
    <w:rsid w:val="003B7E45"/>
    <w:rsid w:val="003C0FC0"/>
    <w:rsid w:val="003C14A3"/>
    <w:rsid w:val="003C2F82"/>
    <w:rsid w:val="003C3A6E"/>
    <w:rsid w:val="003C446A"/>
    <w:rsid w:val="003C6584"/>
    <w:rsid w:val="003C6CDF"/>
    <w:rsid w:val="003C6EB4"/>
    <w:rsid w:val="003C6F0A"/>
    <w:rsid w:val="003C791C"/>
    <w:rsid w:val="003C7E6C"/>
    <w:rsid w:val="003D0899"/>
    <w:rsid w:val="003D262E"/>
    <w:rsid w:val="003D33AE"/>
    <w:rsid w:val="003D35E4"/>
    <w:rsid w:val="003D4A65"/>
    <w:rsid w:val="003E1338"/>
    <w:rsid w:val="003E35C6"/>
    <w:rsid w:val="003E3EED"/>
    <w:rsid w:val="003E689D"/>
    <w:rsid w:val="003E6CF4"/>
    <w:rsid w:val="003E7011"/>
    <w:rsid w:val="003E72AB"/>
    <w:rsid w:val="003F0B39"/>
    <w:rsid w:val="003F139A"/>
    <w:rsid w:val="003F388E"/>
    <w:rsid w:val="004001C1"/>
    <w:rsid w:val="00402208"/>
    <w:rsid w:val="00402E22"/>
    <w:rsid w:val="0040456C"/>
    <w:rsid w:val="00404BA7"/>
    <w:rsid w:val="00404DBB"/>
    <w:rsid w:val="00404DF8"/>
    <w:rsid w:val="0041275E"/>
    <w:rsid w:val="00413F14"/>
    <w:rsid w:val="00413F6B"/>
    <w:rsid w:val="00416302"/>
    <w:rsid w:val="00416BDB"/>
    <w:rsid w:val="00416DE1"/>
    <w:rsid w:val="00424318"/>
    <w:rsid w:val="00425EE2"/>
    <w:rsid w:val="004276A4"/>
    <w:rsid w:val="00434029"/>
    <w:rsid w:val="00434578"/>
    <w:rsid w:val="00437FB2"/>
    <w:rsid w:val="004408D2"/>
    <w:rsid w:val="00440F26"/>
    <w:rsid w:val="004414E0"/>
    <w:rsid w:val="00442F89"/>
    <w:rsid w:val="00443476"/>
    <w:rsid w:val="004448ED"/>
    <w:rsid w:val="00444C42"/>
    <w:rsid w:val="004451CE"/>
    <w:rsid w:val="00445E58"/>
    <w:rsid w:val="004465EC"/>
    <w:rsid w:val="00447782"/>
    <w:rsid w:val="0045058B"/>
    <w:rsid w:val="004506AE"/>
    <w:rsid w:val="0045258E"/>
    <w:rsid w:val="00452775"/>
    <w:rsid w:val="00452C03"/>
    <w:rsid w:val="00455167"/>
    <w:rsid w:val="00457FD1"/>
    <w:rsid w:val="0046057D"/>
    <w:rsid w:val="004617CE"/>
    <w:rsid w:val="00465C17"/>
    <w:rsid w:val="00471376"/>
    <w:rsid w:val="00472D02"/>
    <w:rsid w:val="00473ECD"/>
    <w:rsid w:val="004741A0"/>
    <w:rsid w:val="004768AC"/>
    <w:rsid w:val="00477EB2"/>
    <w:rsid w:val="0048369B"/>
    <w:rsid w:val="00485917"/>
    <w:rsid w:val="0049139F"/>
    <w:rsid w:val="0049481F"/>
    <w:rsid w:val="00494E09"/>
    <w:rsid w:val="00495C18"/>
    <w:rsid w:val="004960A1"/>
    <w:rsid w:val="00496263"/>
    <w:rsid w:val="00496A93"/>
    <w:rsid w:val="004A0BCC"/>
    <w:rsid w:val="004A3047"/>
    <w:rsid w:val="004A320F"/>
    <w:rsid w:val="004A35B9"/>
    <w:rsid w:val="004A5A56"/>
    <w:rsid w:val="004A7104"/>
    <w:rsid w:val="004B0AF6"/>
    <w:rsid w:val="004B1468"/>
    <w:rsid w:val="004B32CD"/>
    <w:rsid w:val="004B3377"/>
    <w:rsid w:val="004B4BF4"/>
    <w:rsid w:val="004B58B1"/>
    <w:rsid w:val="004B5EF4"/>
    <w:rsid w:val="004B6188"/>
    <w:rsid w:val="004B6421"/>
    <w:rsid w:val="004B64A5"/>
    <w:rsid w:val="004C0747"/>
    <w:rsid w:val="004C1EA8"/>
    <w:rsid w:val="004C418D"/>
    <w:rsid w:val="004C465C"/>
    <w:rsid w:val="004C50A8"/>
    <w:rsid w:val="004C627C"/>
    <w:rsid w:val="004C6753"/>
    <w:rsid w:val="004D2562"/>
    <w:rsid w:val="004D3B18"/>
    <w:rsid w:val="004D4BFC"/>
    <w:rsid w:val="004D66F8"/>
    <w:rsid w:val="004E1C6B"/>
    <w:rsid w:val="004E2C43"/>
    <w:rsid w:val="004E3474"/>
    <w:rsid w:val="004E4407"/>
    <w:rsid w:val="004E56E2"/>
    <w:rsid w:val="004F0626"/>
    <w:rsid w:val="004F1568"/>
    <w:rsid w:val="004F4307"/>
    <w:rsid w:val="005019D9"/>
    <w:rsid w:val="00502ECC"/>
    <w:rsid w:val="0050495A"/>
    <w:rsid w:val="0050648B"/>
    <w:rsid w:val="00510FD7"/>
    <w:rsid w:val="005110F3"/>
    <w:rsid w:val="0051200E"/>
    <w:rsid w:val="0051290E"/>
    <w:rsid w:val="005136E3"/>
    <w:rsid w:val="0051691F"/>
    <w:rsid w:val="005176F4"/>
    <w:rsid w:val="00517C33"/>
    <w:rsid w:val="00522728"/>
    <w:rsid w:val="005234B8"/>
    <w:rsid w:val="005246D1"/>
    <w:rsid w:val="00524B56"/>
    <w:rsid w:val="00526B0B"/>
    <w:rsid w:val="005323D8"/>
    <w:rsid w:val="00532790"/>
    <w:rsid w:val="00533E14"/>
    <w:rsid w:val="00540243"/>
    <w:rsid w:val="00540D43"/>
    <w:rsid w:val="005419FF"/>
    <w:rsid w:val="0054677A"/>
    <w:rsid w:val="005514AD"/>
    <w:rsid w:val="00552530"/>
    <w:rsid w:val="0055388A"/>
    <w:rsid w:val="005576B2"/>
    <w:rsid w:val="00562440"/>
    <w:rsid w:val="005632BA"/>
    <w:rsid w:val="00564D7C"/>
    <w:rsid w:val="0056610D"/>
    <w:rsid w:val="00567487"/>
    <w:rsid w:val="00567C87"/>
    <w:rsid w:val="0057173F"/>
    <w:rsid w:val="005718F7"/>
    <w:rsid w:val="0057279C"/>
    <w:rsid w:val="00573789"/>
    <w:rsid w:val="00575181"/>
    <w:rsid w:val="005816FF"/>
    <w:rsid w:val="00586C75"/>
    <w:rsid w:val="00590359"/>
    <w:rsid w:val="00590579"/>
    <w:rsid w:val="00590EFB"/>
    <w:rsid w:val="00591AC3"/>
    <w:rsid w:val="005933CD"/>
    <w:rsid w:val="0059398F"/>
    <w:rsid w:val="0059409E"/>
    <w:rsid w:val="005953EB"/>
    <w:rsid w:val="00596088"/>
    <w:rsid w:val="005960E2"/>
    <w:rsid w:val="0059613A"/>
    <w:rsid w:val="00596645"/>
    <w:rsid w:val="005A1D10"/>
    <w:rsid w:val="005A2898"/>
    <w:rsid w:val="005A2F6E"/>
    <w:rsid w:val="005A3395"/>
    <w:rsid w:val="005A4E41"/>
    <w:rsid w:val="005A56CE"/>
    <w:rsid w:val="005A57F5"/>
    <w:rsid w:val="005B0230"/>
    <w:rsid w:val="005B0A46"/>
    <w:rsid w:val="005B110B"/>
    <w:rsid w:val="005B1F7E"/>
    <w:rsid w:val="005B2212"/>
    <w:rsid w:val="005B5C13"/>
    <w:rsid w:val="005B7F18"/>
    <w:rsid w:val="005C1347"/>
    <w:rsid w:val="005C1936"/>
    <w:rsid w:val="005C1E41"/>
    <w:rsid w:val="005C4221"/>
    <w:rsid w:val="005C4726"/>
    <w:rsid w:val="005C5031"/>
    <w:rsid w:val="005C6052"/>
    <w:rsid w:val="005C67D2"/>
    <w:rsid w:val="005C7E37"/>
    <w:rsid w:val="005D069C"/>
    <w:rsid w:val="005D0831"/>
    <w:rsid w:val="005D0F8E"/>
    <w:rsid w:val="005D2668"/>
    <w:rsid w:val="005D32C2"/>
    <w:rsid w:val="005D6DA0"/>
    <w:rsid w:val="005D7178"/>
    <w:rsid w:val="005E0556"/>
    <w:rsid w:val="005E12E0"/>
    <w:rsid w:val="005E40F6"/>
    <w:rsid w:val="005E5541"/>
    <w:rsid w:val="005E6685"/>
    <w:rsid w:val="005F00BE"/>
    <w:rsid w:val="005F026A"/>
    <w:rsid w:val="005F0321"/>
    <w:rsid w:val="005F433B"/>
    <w:rsid w:val="005F624C"/>
    <w:rsid w:val="006020D1"/>
    <w:rsid w:val="00603C3C"/>
    <w:rsid w:val="00605DCB"/>
    <w:rsid w:val="00605FD5"/>
    <w:rsid w:val="00607038"/>
    <w:rsid w:val="00607A4C"/>
    <w:rsid w:val="00610B62"/>
    <w:rsid w:val="00612813"/>
    <w:rsid w:val="006200C9"/>
    <w:rsid w:val="0062168C"/>
    <w:rsid w:val="0062423D"/>
    <w:rsid w:val="006261E0"/>
    <w:rsid w:val="00626EB1"/>
    <w:rsid w:val="006273E9"/>
    <w:rsid w:val="00631615"/>
    <w:rsid w:val="006347CF"/>
    <w:rsid w:val="006358BC"/>
    <w:rsid w:val="0063597E"/>
    <w:rsid w:val="00637A6A"/>
    <w:rsid w:val="006403DC"/>
    <w:rsid w:val="0064064C"/>
    <w:rsid w:val="00640D2F"/>
    <w:rsid w:val="0064101F"/>
    <w:rsid w:val="0064591F"/>
    <w:rsid w:val="0064609C"/>
    <w:rsid w:val="00646C99"/>
    <w:rsid w:val="006501F8"/>
    <w:rsid w:val="00650943"/>
    <w:rsid w:val="006510AB"/>
    <w:rsid w:val="00652651"/>
    <w:rsid w:val="00653A4C"/>
    <w:rsid w:val="00654703"/>
    <w:rsid w:val="00655AD8"/>
    <w:rsid w:val="00657953"/>
    <w:rsid w:val="00657DFF"/>
    <w:rsid w:val="006601D2"/>
    <w:rsid w:val="00670F26"/>
    <w:rsid w:val="006718FB"/>
    <w:rsid w:val="00672278"/>
    <w:rsid w:val="006729CC"/>
    <w:rsid w:val="0067717C"/>
    <w:rsid w:val="006815E4"/>
    <w:rsid w:val="00681BB7"/>
    <w:rsid w:val="0068534B"/>
    <w:rsid w:val="00685754"/>
    <w:rsid w:val="0068616C"/>
    <w:rsid w:val="006864ED"/>
    <w:rsid w:val="00686721"/>
    <w:rsid w:val="00687594"/>
    <w:rsid w:val="00692320"/>
    <w:rsid w:val="006926EB"/>
    <w:rsid w:val="00693A5F"/>
    <w:rsid w:val="00693CA7"/>
    <w:rsid w:val="00694694"/>
    <w:rsid w:val="00694BCC"/>
    <w:rsid w:val="00695712"/>
    <w:rsid w:val="00697311"/>
    <w:rsid w:val="00697E58"/>
    <w:rsid w:val="006A18B5"/>
    <w:rsid w:val="006A1EE2"/>
    <w:rsid w:val="006A1F81"/>
    <w:rsid w:val="006A2D23"/>
    <w:rsid w:val="006A2F9D"/>
    <w:rsid w:val="006A37FE"/>
    <w:rsid w:val="006A4F18"/>
    <w:rsid w:val="006A624F"/>
    <w:rsid w:val="006A7EDF"/>
    <w:rsid w:val="006B0E5B"/>
    <w:rsid w:val="006B25DC"/>
    <w:rsid w:val="006B2DFA"/>
    <w:rsid w:val="006B37FA"/>
    <w:rsid w:val="006B423B"/>
    <w:rsid w:val="006B455D"/>
    <w:rsid w:val="006B6052"/>
    <w:rsid w:val="006C04BB"/>
    <w:rsid w:val="006C10D1"/>
    <w:rsid w:val="006C3244"/>
    <w:rsid w:val="006C64D8"/>
    <w:rsid w:val="006D328F"/>
    <w:rsid w:val="006D3A7F"/>
    <w:rsid w:val="006D597D"/>
    <w:rsid w:val="006D5BED"/>
    <w:rsid w:val="006D66A5"/>
    <w:rsid w:val="006D6C95"/>
    <w:rsid w:val="006E2E1F"/>
    <w:rsid w:val="006E41FA"/>
    <w:rsid w:val="006E5525"/>
    <w:rsid w:val="006E5B54"/>
    <w:rsid w:val="006E5CF2"/>
    <w:rsid w:val="006E6B52"/>
    <w:rsid w:val="006F0B90"/>
    <w:rsid w:val="006F11A7"/>
    <w:rsid w:val="006F18DA"/>
    <w:rsid w:val="006F2A0C"/>
    <w:rsid w:val="006F2CF6"/>
    <w:rsid w:val="006F7284"/>
    <w:rsid w:val="006F7E2B"/>
    <w:rsid w:val="007003FA"/>
    <w:rsid w:val="007007A7"/>
    <w:rsid w:val="00701456"/>
    <w:rsid w:val="00702845"/>
    <w:rsid w:val="00705353"/>
    <w:rsid w:val="00705C37"/>
    <w:rsid w:val="00707CE9"/>
    <w:rsid w:val="00712525"/>
    <w:rsid w:val="00712E93"/>
    <w:rsid w:val="00715F58"/>
    <w:rsid w:val="00716619"/>
    <w:rsid w:val="007201BB"/>
    <w:rsid w:val="0072392D"/>
    <w:rsid w:val="007264BD"/>
    <w:rsid w:val="0072651B"/>
    <w:rsid w:val="00726D47"/>
    <w:rsid w:val="00727EF8"/>
    <w:rsid w:val="00727F22"/>
    <w:rsid w:val="007325B0"/>
    <w:rsid w:val="00732C6E"/>
    <w:rsid w:val="00733CCC"/>
    <w:rsid w:val="00734930"/>
    <w:rsid w:val="00734AA5"/>
    <w:rsid w:val="00735C88"/>
    <w:rsid w:val="00736321"/>
    <w:rsid w:val="00736EA2"/>
    <w:rsid w:val="00737E05"/>
    <w:rsid w:val="00740397"/>
    <w:rsid w:val="007409BB"/>
    <w:rsid w:val="00740A8C"/>
    <w:rsid w:val="007452AF"/>
    <w:rsid w:val="00745911"/>
    <w:rsid w:val="007474BF"/>
    <w:rsid w:val="00747E19"/>
    <w:rsid w:val="00751FCE"/>
    <w:rsid w:val="00752554"/>
    <w:rsid w:val="0075260F"/>
    <w:rsid w:val="00752623"/>
    <w:rsid w:val="00752A73"/>
    <w:rsid w:val="00754294"/>
    <w:rsid w:val="00755A17"/>
    <w:rsid w:val="007567B9"/>
    <w:rsid w:val="00756B4D"/>
    <w:rsid w:val="00757AEC"/>
    <w:rsid w:val="00761C3D"/>
    <w:rsid w:val="0076513B"/>
    <w:rsid w:val="00765846"/>
    <w:rsid w:val="007722B7"/>
    <w:rsid w:val="00772F13"/>
    <w:rsid w:val="0077331E"/>
    <w:rsid w:val="00776BAE"/>
    <w:rsid w:val="00776E76"/>
    <w:rsid w:val="00777322"/>
    <w:rsid w:val="00777C41"/>
    <w:rsid w:val="00780278"/>
    <w:rsid w:val="0078065A"/>
    <w:rsid w:val="00781BBC"/>
    <w:rsid w:val="0078323D"/>
    <w:rsid w:val="00784737"/>
    <w:rsid w:val="00785B1E"/>
    <w:rsid w:val="00785EAA"/>
    <w:rsid w:val="00791BBF"/>
    <w:rsid w:val="00791C8B"/>
    <w:rsid w:val="00791D3B"/>
    <w:rsid w:val="0079381B"/>
    <w:rsid w:val="00796609"/>
    <w:rsid w:val="00797623"/>
    <w:rsid w:val="007A05E5"/>
    <w:rsid w:val="007A0E23"/>
    <w:rsid w:val="007A2202"/>
    <w:rsid w:val="007A31C1"/>
    <w:rsid w:val="007A56B0"/>
    <w:rsid w:val="007A5E03"/>
    <w:rsid w:val="007A718B"/>
    <w:rsid w:val="007B0D07"/>
    <w:rsid w:val="007B2285"/>
    <w:rsid w:val="007B2C52"/>
    <w:rsid w:val="007B4A7E"/>
    <w:rsid w:val="007B551F"/>
    <w:rsid w:val="007B65BB"/>
    <w:rsid w:val="007B66F3"/>
    <w:rsid w:val="007C0C59"/>
    <w:rsid w:val="007C0E01"/>
    <w:rsid w:val="007C1471"/>
    <w:rsid w:val="007C256B"/>
    <w:rsid w:val="007C3FE6"/>
    <w:rsid w:val="007C44F5"/>
    <w:rsid w:val="007C4848"/>
    <w:rsid w:val="007D13FB"/>
    <w:rsid w:val="007D38A2"/>
    <w:rsid w:val="007D452E"/>
    <w:rsid w:val="007D5BD8"/>
    <w:rsid w:val="007E1BD2"/>
    <w:rsid w:val="007E242D"/>
    <w:rsid w:val="007E605F"/>
    <w:rsid w:val="007E6D14"/>
    <w:rsid w:val="007F0183"/>
    <w:rsid w:val="007F01FE"/>
    <w:rsid w:val="007F1F12"/>
    <w:rsid w:val="007F35D8"/>
    <w:rsid w:val="007F5A4C"/>
    <w:rsid w:val="007F6E96"/>
    <w:rsid w:val="0080204A"/>
    <w:rsid w:val="00803D11"/>
    <w:rsid w:val="0080518E"/>
    <w:rsid w:val="00806499"/>
    <w:rsid w:val="00806BE7"/>
    <w:rsid w:val="008071B6"/>
    <w:rsid w:val="008101BE"/>
    <w:rsid w:val="00810548"/>
    <w:rsid w:val="008132EC"/>
    <w:rsid w:val="008137FB"/>
    <w:rsid w:val="00813909"/>
    <w:rsid w:val="00814805"/>
    <w:rsid w:val="00816D29"/>
    <w:rsid w:val="00817A82"/>
    <w:rsid w:val="0082301E"/>
    <w:rsid w:val="008230DC"/>
    <w:rsid w:val="0082561D"/>
    <w:rsid w:val="00826405"/>
    <w:rsid w:val="008266D5"/>
    <w:rsid w:val="00826878"/>
    <w:rsid w:val="008300BC"/>
    <w:rsid w:val="00832288"/>
    <w:rsid w:val="00832AEC"/>
    <w:rsid w:val="00836268"/>
    <w:rsid w:val="00836C1D"/>
    <w:rsid w:val="00837613"/>
    <w:rsid w:val="00837BF7"/>
    <w:rsid w:val="008414CC"/>
    <w:rsid w:val="0084287B"/>
    <w:rsid w:val="00842C26"/>
    <w:rsid w:val="00843637"/>
    <w:rsid w:val="008474EC"/>
    <w:rsid w:val="00847B19"/>
    <w:rsid w:val="00847E90"/>
    <w:rsid w:val="0085057B"/>
    <w:rsid w:val="008507DB"/>
    <w:rsid w:val="0085086C"/>
    <w:rsid w:val="0085088F"/>
    <w:rsid w:val="00854DC7"/>
    <w:rsid w:val="00854F89"/>
    <w:rsid w:val="00855AB0"/>
    <w:rsid w:val="008568B9"/>
    <w:rsid w:val="00861EB7"/>
    <w:rsid w:val="00863365"/>
    <w:rsid w:val="00864DBD"/>
    <w:rsid w:val="00864F34"/>
    <w:rsid w:val="0086622E"/>
    <w:rsid w:val="008670BD"/>
    <w:rsid w:val="00872AF0"/>
    <w:rsid w:val="00874A0C"/>
    <w:rsid w:val="00875C79"/>
    <w:rsid w:val="00875CEC"/>
    <w:rsid w:val="00875D18"/>
    <w:rsid w:val="00876681"/>
    <w:rsid w:val="00877A3E"/>
    <w:rsid w:val="00877F74"/>
    <w:rsid w:val="00882623"/>
    <w:rsid w:val="008826FB"/>
    <w:rsid w:val="008835FF"/>
    <w:rsid w:val="00883E82"/>
    <w:rsid w:val="00884524"/>
    <w:rsid w:val="008845B6"/>
    <w:rsid w:val="00885C6E"/>
    <w:rsid w:val="00886351"/>
    <w:rsid w:val="00886472"/>
    <w:rsid w:val="0088676A"/>
    <w:rsid w:val="00887FD0"/>
    <w:rsid w:val="00890ACF"/>
    <w:rsid w:val="00892918"/>
    <w:rsid w:val="0089311F"/>
    <w:rsid w:val="00893FA6"/>
    <w:rsid w:val="00894E5E"/>
    <w:rsid w:val="00896082"/>
    <w:rsid w:val="008A0D11"/>
    <w:rsid w:val="008A19F5"/>
    <w:rsid w:val="008A2395"/>
    <w:rsid w:val="008A28EE"/>
    <w:rsid w:val="008A292B"/>
    <w:rsid w:val="008A2E87"/>
    <w:rsid w:val="008A3842"/>
    <w:rsid w:val="008A5F14"/>
    <w:rsid w:val="008A6C4A"/>
    <w:rsid w:val="008B0E4F"/>
    <w:rsid w:val="008B0F21"/>
    <w:rsid w:val="008B1468"/>
    <w:rsid w:val="008B238B"/>
    <w:rsid w:val="008B7532"/>
    <w:rsid w:val="008C0475"/>
    <w:rsid w:val="008C04FD"/>
    <w:rsid w:val="008C10EB"/>
    <w:rsid w:val="008C2EDA"/>
    <w:rsid w:val="008C4E38"/>
    <w:rsid w:val="008C587C"/>
    <w:rsid w:val="008C65A9"/>
    <w:rsid w:val="008C6D05"/>
    <w:rsid w:val="008C785F"/>
    <w:rsid w:val="008C7C12"/>
    <w:rsid w:val="008D2549"/>
    <w:rsid w:val="008D5A9E"/>
    <w:rsid w:val="008D7240"/>
    <w:rsid w:val="008E28F6"/>
    <w:rsid w:val="008E6C3A"/>
    <w:rsid w:val="008F18FD"/>
    <w:rsid w:val="008F35D8"/>
    <w:rsid w:val="008F6F12"/>
    <w:rsid w:val="008F75A8"/>
    <w:rsid w:val="008F797B"/>
    <w:rsid w:val="00900FD4"/>
    <w:rsid w:val="0090140C"/>
    <w:rsid w:val="00905ACD"/>
    <w:rsid w:val="0091523C"/>
    <w:rsid w:val="00916E00"/>
    <w:rsid w:val="0091776F"/>
    <w:rsid w:val="00920288"/>
    <w:rsid w:val="00920661"/>
    <w:rsid w:val="00921F62"/>
    <w:rsid w:val="00924D74"/>
    <w:rsid w:val="00924D97"/>
    <w:rsid w:val="0092580B"/>
    <w:rsid w:val="00926401"/>
    <w:rsid w:val="00926BFC"/>
    <w:rsid w:val="00927EAF"/>
    <w:rsid w:val="00927F93"/>
    <w:rsid w:val="00931524"/>
    <w:rsid w:val="00931B13"/>
    <w:rsid w:val="00931B95"/>
    <w:rsid w:val="00932B39"/>
    <w:rsid w:val="00933FF7"/>
    <w:rsid w:val="00935EFB"/>
    <w:rsid w:val="00936F7E"/>
    <w:rsid w:val="0094443A"/>
    <w:rsid w:val="00944A15"/>
    <w:rsid w:val="009450AC"/>
    <w:rsid w:val="00946D5D"/>
    <w:rsid w:val="00947712"/>
    <w:rsid w:val="00950166"/>
    <w:rsid w:val="009510A7"/>
    <w:rsid w:val="00953E38"/>
    <w:rsid w:val="00957440"/>
    <w:rsid w:val="00957803"/>
    <w:rsid w:val="00960CA0"/>
    <w:rsid w:val="00961282"/>
    <w:rsid w:val="00962088"/>
    <w:rsid w:val="009627B8"/>
    <w:rsid w:val="00962E37"/>
    <w:rsid w:val="00965366"/>
    <w:rsid w:val="0097165B"/>
    <w:rsid w:val="00972791"/>
    <w:rsid w:val="0097473B"/>
    <w:rsid w:val="00976BA5"/>
    <w:rsid w:val="00977403"/>
    <w:rsid w:val="00977637"/>
    <w:rsid w:val="00981D05"/>
    <w:rsid w:val="00981D42"/>
    <w:rsid w:val="00982F0E"/>
    <w:rsid w:val="00983D12"/>
    <w:rsid w:val="0099216B"/>
    <w:rsid w:val="009941D2"/>
    <w:rsid w:val="009942D5"/>
    <w:rsid w:val="00994DE8"/>
    <w:rsid w:val="00995BC0"/>
    <w:rsid w:val="009A0A44"/>
    <w:rsid w:val="009A1B86"/>
    <w:rsid w:val="009A30AC"/>
    <w:rsid w:val="009B116F"/>
    <w:rsid w:val="009B11FF"/>
    <w:rsid w:val="009B43C0"/>
    <w:rsid w:val="009B486D"/>
    <w:rsid w:val="009B4EE5"/>
    <w:rsid w:val="009B5101"/>
    <w:rsid w:val="009C0D16"/>
    <w:rsid w:val="009C1291"/>
    <w:rsid w:val="009C26EC"/>
    <w:rsid w:val="009C3D7B"/>
    <w:rsid w:val="009C4056"/>
    <w:rsid w:val="009C40D3"/>
    <w:rsid w:val="009C6670"/>
    <w:rsid w:val="009C69FC"/>
    <w:rsid w:val="009C78AD"/>
    <w:rsid w:val="009D19C1"/>
    <w:rsid w:val="009D2951"/>
    <w:rsid w:val="009D3129"/>
    <w:rsid w:val="009D35F0"/>
    <w:rsid w:val="009D4AD1"/>
    <w:rsid w:val="009D4B0A"/>
    <w:rsid w:val="009D7025"/>
    <w:rsid w:val="009E23A9"/>
    <w:rsid w:val="009E3B50"/>
    <w:rsid w:val="009E5F54"/>
    <w:rsid w:val="009E635C"/>
    <w:rsid w:val="009F04A7"/>
    <w:rsid w:val="009F1D00"/>
    <w:rsid w:val="009F33A6"/>
    <w:rsid w:val="009F386F"/>
    <w:rsid w:val="009F41EC"/>
    <w:rsid w:val="009F4217"/>
    <w:rsid w:val="009F4B09"/>
    <w:rsid w:val="009F5BEC"/>
    <w:rsid w:val="009F5C01"/>
    <w:rsid w:val="00A02519"/>
    <w:rsid w:val="00A043AC"/>
    <w:rsid w:val="00A04E39"/>
    <w:rsid w:val="00A063D8"/>
    <w:rsid w:val="00A079A7"/>
    <w:rsid w:val="00A11BF1"/>
    <w:rsid w:val="00A1220C"/>
    <w:rsid w:val="00A1261F"/>
    <w:rsid w:val="00A149AF"/>
    <w:rsid w:val="00A15F0B"/>
    <w:rsid w:val="00A16941"/>
    <w:rsid w:val="00A209B7"/>
    <w:rsid w:val="00A230E4"/>
    <w:rsid w:val="00A23F0B"/>
    <w:rsid w:val="00A2413F"/>
    <w:rsid w:val="00A242D4"/>
    <w:rsid w:val="00A26FBD"/>
    <w:rsid w:val="00A30430"/>
    <w:rsid w:val="00A30F66"/>
    <w:rsid w:val="00A33306"/>
    <w:rsid w:val="00A3481B"/>
    <w:rsid w:val="00A34973"/>
    <w:rsid w:val="00A352F7"/>
    <w:rsid w:val="00A35383"/>
    <w:rsid w:val="00A36E58"/>
    <w:rsid w:val="00A400EC"/>
    <w:rsid w:val="00A40D83"/>
    <w:rsid w:val="00A42115"/>
    <w:rsid w:val="00A434D2"/>
    <w:rsid w:val="00A43895"/>
    <w:rsid w:val="00A4390F"/>
    <w:rsid w:val="00A44027"/>
    <w:rsid w:val="00A444DC"/>
    <w:rsid w:val="00A44BAF"/>
    <w:rsid w:val="00A452FF"/>
    <w:rsid w:val="00A45D00"/>
    <w:rsid w:val="00A47548"/>
    <w:rsid w:val="00A47ADD"/>
    <w:rsid w:val="00A5008C"/>
    <w:rsid w:val="00A556F6"/>
    <w:rsid w:val="00A623B4"/>
    <w:rsid w:val="00A625FA"/>
    <w:rsid w:val="00A62669"/>
    <w:rsid w:val="00A6344B"/>
    <w:rsid w:val="00A66C84"/>
    <w:rsid w:val="00A67BB1"/>
    <w:rsid w:val="00A71972"/>
    <w:rsid w:val="00A72036"/>
    <w:rsid w:val="00A72801"/>
    <w:rsid w:val="00A72A35"/>
    <w:rsid w:val="00A72E72"/>
    <w:rsid w:val="00A72FD8"/>
    <w:rsid w:val="00A7331A"/>
    <w:rsid w:val="00A7544C"/>
    <w:rsid w:val="00A77310"/>
    <w:rsid w:val="00A77D59"/>
    <w:rsid w:val="00A80EF8"/>
    <w:rsid w:val="00A83DAE"/>
    <w:rsid w:val="00A853F5"/>
    <w:rsid w:val="00A8563F"/>
    <w:rsid w:val="00A85E97"/>
    <w:rsid w:val="00A86448"/>
    <w:rsid w:val="00A86732"/>
    <w:rsid w:val="00A90C04"/>
    <w:rsid w:val="00A929BD"/>
    <w:rsid w:val="00A93600"/>
    <w:rsid w:val="00A9485A"/>
    <w:rsid w:val="00A94C51"/>
    <w:rsid w:val="00A95C86"/>
    <w:rsid w:val="00AA16EE"/>
    <w:rsid w:val="00AA315F"/>
    <w:rsid w:val="00AA39A7"/>
    <w:rsid w:val="00AA57D4"/>
    <w:rsid w:val="00AA5C31"/>
    <w:rsid w:val="00AA7FC6"/>
    <w:rsid w:val="00AB1202"/>
    <w:rsid w:val="00AB2033"/>
    <w:rsid w:val="00AB274F"/>
    <w:rsid w:val="00AB3642"/>
    <w:rsid w:val="00AB378A"/>
    <w:rsid w:val="00AB55A2"/>
    <w:rsid w:val="00AB6EF5"/>
    <w:rsid w:val="00AC1AEB"/>
    <w:rsid w:val="00AC2FD5"/>
    <w:rsid w:val="00AC3FC1"/>
    <w:rsid w:val="00AC4744"/>
    <w:rsid w:val="00AC7BFF"/>
    <w:rsid w:val="00AC7DFB"/>
    <w:rsid w:val="00AD28C5"/>
    <w:rsid w:val="00AD321E"/>
    <w:rsid w:val="00AD5DC2"/>
    <w:rsid w:val="00AD79CC"/>
    <w:rsid w:val="00AD7CC7"/>
    <w:rsid w:val="00AD7CF4"/>
    <w:rsid w:val="00AE0F47"/>
    <w:rsid w:val="00AE109B"/>
    <w:rsid w:val="00AE3559"/>
    <w:rsid w:val="00AE4C48"/>
    <w:rsid w:val="00AE555F"/>
    <w:rsid w:val="00AE57BD"/>
    <w:rsid w:val="00AE66D9"/>
    <w:rsid w:val="00AF000B"/>
    <w:rsid w:val="00AF129A"/>
    <w:rsid w:val="00AF1DC3"/>
    <w:rsid w:val="00AF616F"/>
    <w:rsid w:val="00B00F06"/>
    <w:rsid w:val="00B03474"/>
    <w:rsid w:val="00B04313"/>
    <w:rsid w:val="00B0730D"/>
    <w:rsid w:val="00B101E7"/>
    <w:rsid w:val="00B106F2"/>
    <w:rsid w:val="00B14598"/>
    <w:rsid w:val="00B17661"/>
    <w:rsid w:val="00B273EB"/>
    <w:rsid w:val="00B30A73"/>
    <w:rsid w:val="00B32F60"/>
    <w:rsid w:val="00B36AB8"/>
    <w:rsid w:val="00B41340"/>
    <w:rsid w:val="00B447FE"/>
    <w:rsid w:val="00B44E8F"/>
    <w:rsid w:val="00B46204"/>
    <w:rsid w:val="00B465A4"/>
    <w:rsid w:val="00B46E5F"/>
    <w:rsid w:val="00B5313E"/>
    <w:rsid w:val="00B57F20"/>
    <w:rsid w:val="00B60981"/>
    <w:rsid w:val="00B6241B"/>
    <w:rsid w:val="00B630A4"/>
    <w:rsid w:val="00B635BE"/>
    <w:rsid w:val="00B66EF6"/>
    <w:rsid w:val="00B67686"/>
    <w:rsid w:val="00B716FB"/>
    <w:rsid w:val="00B716FF"/>
    <w:rsid w:val="00B73255"/>
    <w:rsid w:val="00B73416"/>
    <w:rsid w:val="00B73A1A"/>
    <w:rsid w:val="00B74627"/>
    <w:rsid w:val="00B82956"/>
    <w:rsid w:val="00B82E3A"/>
    <w:rsid w:val="00B8360A"/>
    <w:rsid w:val="00B83ADF"/>
    <w:rsid w:val="00B86344"/>
    <w:rsid w:val="00B87655"/>
    <w:rsid w:val="00B87A74"/>
    <w:rsid w:val="00B87B34"/>
    <w:rsid w:val="00B91C84"/>
    <w:rsid w:val="00B926C4"/>
    <w:rsid w:val="00BA21C9"/>
    <w:rsid w:val="00BA2BF7"/>
    <w:rsid w:val="00BA615D"/>
    <w:rsid w:val="00BA64D3"/>
    <w:rsid w:val="00BA7F12"/>
    <w:rsid w:val="00BB0F5A"/>
    <w:rsid w:val="00BB1B09"/>
    <w:rsid w:val="00BB2144"/>
    <w:rsid w:val="00BB32B1"/>
    <w:rsid w:val="00BB5B6C"/>
    <w:rsid w:val="00BB5BEB"/>
    <w:rsid w:val="00BB6130"/>
    <w:rsid w:val="00BB68F2"/>
    <w:rsid w:val="00BB7658"/>
    <w:rsid w:val="00BC0396"/>
    <w:rsid w:val="00BC0B3D"/>
    <w:rsid w:val="00BC0E88"/>
    <w:rsid w:val="00BC16FE"/>
    <w:rsid w:val="00BC2090"/>
    <w:rsid w:val="00BC2C55"/>
    <w:rsid w:val="00BC3954"/>
    <w:rsid w:val="00BC59E6"/>
    <w:rsid w:val="00BC6941"/>
    <w:rsid w:val="00BC6C90"/>
    <w:rsid w:val="00BC754B"/>
    <w:rsid w:val="00BC78C0"/>
    <w:rsid w:val="00BD0042"/>
    <w:rsid w:val="00BD3C9D"/>
    <w:rsid w:val="00BD43C2"/>
    <w:rsid w:val="00BD5827"/>
    <w:rsid w:val="00BE0013"/>
    <w:rsid w:val="00BE3E2D"/>
    <w:rsid w:val="00BE41FA"/>
    <w:rsid w:val="00BE63D4"/>
    <w:rsid w:val="00BE6A54"/>
    <w:rsid w:val="00BF28AC"/>
    <w:rsid w:val="00BF48D0"/>
    <w:rsid w:val="00BF5520"/>
    <w:rsid w:val="00BF6B42"/>
    <w:rsid w:val="00C04242"/>
    <w:rsid w:val="00C04959"/>
    <w:rsid w:val="00C06305"/>
    <w:rsid w:val="00C068F4"/>
    <w:rsid w:val="00C13B0A"/>
    <w:rsid w:val="00C15ABA"/>
    <w:rsid w:val="00C15DED"/>
    <w:rsid w:val="00C16773"/>
    <w:rsid w:val="00C17170"/>
    <w:rsid w:val="00C20469"/>
    <w:rsid w:val="00C22C08"/>
    <w:rsid w:val="00C24A59"/>
    <w:rsid w:val="00C254A3"/>
    <w:rsid w:val="00C259A6"/>
    <w:rsid w:val="00C31210"/>
    <w:rsid w:val="00C322B5"/>
    <w:rsid w:val="00C3389A"/>
    <w:rsid w:val="00C338E7"/>
    <w:rsid w:val="00C3437F"/>
    <w:rsid w:val="00C34DB3"/>
    <w:rsid w:val="00C35FFE"/>
    <w:rsid w:val="00C4081B"/>
    <w:rsid w:val="00C40EEF"/>
    <w:rsid w:val="00C41183"/>
    <w:rsid w:val="00C41EAB"/>
    <w:rsid w:val="00C431AC"/>
    <w:rsid w:val="00C44763"/>
    <w:rsid w:val="00C45DAE"/>
    <w:rsid w:val="00C464B5"/>
    <w:rsid w:val="00C46E33"/>
    <w:rsid w:val="00C5169E"/>
    <w:rsid w:val="00C51E99"/>
    <w:rsid w:val="00C52670"/>
    <w:rsid w:val="00C52719"/>
    <w:rsid w:val="00C559D7"/>
    <w:rsid w:val="00C55D29"/>
    <w:rsid w:val="00C566F2"/>
    <w:rsid w:val="00C65605"/>
    <w:rsid w:val="00C7000A"/>
    <w:rsid w:val="00C73A97"/>
    <w:rsid w:val="00C7610F"/>
    <w:rsid w:val="00C7625E"/>
    <w:rsid w:val="00C80990"/>
    <w:rsid w:val="00C82462"/>
    <w:rsid w:val="00C835B8"/>
    <w:rsid w:val="00C84567"/>
    <w:rsid w:val="00C867AC"/>
    <w:rsid w:val="00C90008"/>
    <w:rsid w:val="00C9110D"/>
    <w:rsid w:val="00C9191C"/>
    <w:rsid w:val="00C92DB1"/>
    <w:rsid w:val="00C933C3"/>
    <w:rsid w:val="00C9397C"/>
    <w:rsid w:val="00C9535A"/>
    <w:rsid w:val="00C963BA"/>
    <w:rsid w:val="00C96EB6"/>
    <w:rsid w:val="00CA0247"/>
    <w:rsid w:val="00CA0D6B"/>
    <w:rsid w:val="00CA2484"/>
    <w:rsid w:val="00CA2960"/>
    <w:rsid w:val="00CA46A7"/>
    <w:rsid w:val="00CA46D0"/>
    <w:rsid w:val="00CA6548"/>
    <w:rsid w:val="00CA6AC4"/>
    <w:rsid w:val="00CA6DE1"/>
    <w:rsid w:val="00CB0A0D"/>
    <w:rsid w:val="00CB194F"/>
    <w:rsid w:val="00CB1EBA"/>
    <w:rsid w:val="00CB29D2"/>
    <w:rsid w:val="00CB45B1"/>
    <w:rsid w:val="00CB72CD"/>
    <w:rsid w:val="00CC1AA0"/>
    <w:rsid w:val="00CC3A37"/>
    <w:rsid w:val="00CC48A0"/>
    <w:rsid w:val="00CC5128"/>
    <w:rsid w:val="00CC6E2A"/>
    <w:rsid w:val="00CC7CA3"/>
    <w:rsid w:val="00CD0BDF"/>
    <w:rsid w:val="00CD2EE1"/>
    <w:rsid w:val="00CD3020"/>
    <w:rsid w:val="00CD4905"/>
    <w:rsid w:val="00CD4A26"/>
    <w:rsid w:val="00CD65E5"/>
    <w:rsid w:val="00CD6E53"/>
    <w:rsid w:val="00CE0408"/>
    <w:rsid w:val="00CE1231"/>
    <w:rsid w:val="00CE1D01"/>
    <w:rsid w:val="00CE53C0"/>
    <w:rsid w:val="00CE5A3C"/>
    <w:rsid w:val="00CE5AC9"/>
    <w:rsid w:val="00CE72DE"/>
    <w:rsid w:val="00CF1276"/>
    <w:rsid w:val="00CF29D6"/>
    <w:rsid w:val="00CF4DBA"/>
    <w:rsid w:val="00CF63EF"/>
    <w:rsid w:val="00CF7878"/>
    <w:rsid w:val="00D00DA6"/>
    <w:rsid w:val="00D01EEB"/>
    <w:rsid w:val="00D01F74"/>
    <w:rsid w:val="00D030AE"/>
    <w:rsid w:val="00D0394A"/>
    <w:rsid w:val="00D07802"/>
    <w:rsid w:val="00D1052F"/>
    <w:rsid w:val="00D13B16"/>
    <w:rsid w:val="00D141ED"/>
    <w:rsid w:val="00D148B7"/>
    <w:rsid w:val="00D173A3"/>
    <w:rsid w:val="00D208A1"/>
    <w:rsid w:val="00D22BD4"/>
    <w:rsid w:val="00D2482A"/>
    <w:rsid w:val="00D24A54"/>
    <w:rsid w:val="00D27CB5"/>
    <w:rsid w:val="00D32AF2"/>
    <w:rsid w:val="00D337E2"/>
    <w:rsid w:val="00D34279"/>
    <w:rsid w:val="00D36058"/>
    <w:rsid w:val="00D362BA"/>
    <w:rsid w:val="00D36AA2"/>
    <w:rsid w:val="00D36F6C"/>
    <w:rsid w:val="00D37059"/>
    <w:rsid w:val="00D371FD"/>
    <w:rsid w:val="00D37474"/>
    <w:rsid w:val="00D41346"/>
    <w:rsid w:val="00D41AE3"/>
    <w:rsid w:val="00D426E7"/>
    <w:rsid w:val="00D42C11"/>
    <w:rsid w:val="00D42E0E"/>
    <w:rsid w:val="00D463F9"/>
    <w:rsid w:val="00D4680D"/>
    <w:rsid w:val="00D47E06"/>
    <w:rsid w:val="00D47E8F"/>
    <w:rsid w:val="00D50EF0"/>
    <w:rsid w:val="00D5137F"/>
    <w:rsid w:val="00D52AA6"/>
    <w:rsid w:val="00D54ECC"/>
    <w:rsid w:val="00D579F0"/>
    <w:rsid w:val="00D609E2"/>
    <w:rsid w:val="00D63627"/>
    <w:rsid w:val="00D65A8A"/>
    <w:rsid w:val="00D666F2"/>
    <w:rsid w:val="00D6703E"/>
    <w:rsid w:val="00D675C4"/>
    <w:rsid w:val="00D67767"/>
    <w:rsid w:val="00D716A0"/>
    <w:rsid w:val="00D7176D"/>
    <w:rsid w:val="00D71AE2"/>
    <w:rsid w:val="00D71AEE"/>
    <w:rsid w:val="00D72D77"/>
    <w:rsid w:val="00D73087"/>
    <w:rsid w:val="00D73333"/>
    <w:rsid w:val="00D737DD"/>
    <w:rsid w:val="00D7565B"/>
    <w:rsid w:val="00D76A7D"/>
    <w:rsid w:val="00D8136D"/>
    <w:rsid w:val="00D819D9"/>
    <w:rsid w:val="00D82573"/>
    <w:rsid w:val="00D82DB8"/>
    <w:rsid w:val="00D85FA2"/>
    <w:rsid w:val="00D86B5B"/>
    <w:rsid w:val="00D90AA1"/>
    <w:rsid w:val="00D918BF"/>
    <w:rsid w:val="00D91D7B"/>
    <w:rsid w:val="00D93FA1"/>
    <w:rsid w:val="00DA0138"/>
    <w:rsid w:val="00DA27AA"/>
    <w:rsid w:val="00DA2828"/>
    <w:rsid w:val="00DA293B"/>
    <w:rsid w:val="00DA420A"/>
    <w:rsid w:val="00DA484C"/>
    <w:rsid w:val="00DA5621"/>
    <w:rsid w:val="00DA59B0"/>
    <w:rsid w:val="00DA7805"/>
    <w:rsid w:val="00DA7BDD"/>
    <w:rsid w:val="00DA7E86"/>
    <w:rsid w:val="00DB3343"/>
    <w:rsid w:val="00DB5D09"/>
    <w:rsid w:val="00DC26F4"/>
    <w:rsid w:val="00DC3516"/>
    <w:rsid w:val="00DC6522"/>
    <w:rsid w:val="00DD06C4"/>
    <w:rsid w:val="00DD1209"/>
    <w:rsid w:val="00DD28F0"/>
    <w:rsid w:val="00DD545C"/>
    <w:rsid w:val="00DD5645"/>
    <w:rsid w:val="00DD60CE"/>
    <w:rsid w:val="00DE2E16"/>
    <w:rsid w:val="00DE4379"/>
    <w:rsid w:val="00DE48AF"/>
    <w:rsid w:val="00DE61EA"/>
    <w:rsid w:val="00DF6A31"/>
    <w:rsid w:val="00DF6DCD"/>
    <w:rsid w:val="00E019DA"/>
    <w:rsid w:val="00E01AF8"/>
    <w:rsid w:val="00E01CD1"/>
    <w:rsid w:val="00E023AF"/>
    <w:rsid w:val="00E02FCD"/>
    <w:rsid w:val="00E03180"/>
    <w:rsid w:val="00E03452"/>
    <w:rsid w:val="00E034C5"/>
    <w:rsid w:val="00E0357E"/>
    <w:rsid w:val="00E075FE"/>
    <w:rsid w:val="00E11197"/>
    <w:rsid w:val="00E11287"/>
    <w:rsid w:val="00E117F3"/>
    <w:rsid w:val="00E12281"/>
    <w:rsid w:val="00E13BD4"/>
    <w:rsid w:val="00E150B2"/>
    <w:rsid w:val="00E202EB"/>
    <w:rsid w:val="00E21533"/>
    <w:rsid w:val="00E2205B"/>
    <w:rsid w:val="00E233C3"/>
    <w:rsid w:val="00E24B1C"/>
    <w:rsid w:val="00E25C6E"/>
    <w:rsid w:val="00E30724"/>
    <w:rsid w:val="00E30E98"/>
    <w:rsid w:val="00E3158A"/>
    <w:rsid w:val="00E317B4"/>
    <w:rsid w:val="00E31F81"/>
    <w:rsid w:val="00E33CB2"/>
    <w:rsid w:val="00E3621B"/>
    <w:rsid w:val="00E36963"/>
    <w:rsid w:val="00E437DE"/>
    <w:rsid w:val="00E43F4F"/>
    <w:rsid w:val="00E44F14"/>
    <w:rsid w:val="00E45F4E"/>
    <w:rsid w:val="00E47F61"/>
    <w:rsid w:val="00E500A9"/>
    <w:rsid w:val="00E5031B"/>
    <w:rsid w:val="00E51CA0"/>
    <w:rsid w:val="00E63533"/>
    <w:rsid w:val="00E64313"/>
    <w:rsid w:val="00E66E52"/>
    <w:rsid w:val="00E710EF"/>
    <w:rsid w:val="00E72B3C"/>
    <w:rsid w:val="00E742C0"/>
    <w:rsid w:val="00E756F3"/>
    <w:rsid w:val="00E761B0"/>
    <w:rsid w:val="00E80978"/>
    <w:rsid w:val="00E81B0F"/>
    <w:rsid w:val="00E840FB"/>
    <w:rsid w:val="00E860FC"/>
    <w:rsid w:val="00E8630B"/>
    <w:rsid w:val="00E87573"/>
    <w:rsid w:val="00E91638"/>
    <w:rsid w:val="00E933CD"/>
    <w:rsid w:val="00E94921"/>
    <w:rsid w:val="00E94D75"/>
    <w:rsid w:val="00E95178"/>
    <w:rsid w:val="00E95C71"/>
    <w:rsid w:val="00E9679D"/>
    <w:rsid w:val="00E9682C"/>
    <w:rsid w:val="00E97F22"/>
    <w:rsid w:val="00EA07FC"/>
    <w:rsid w:val="00EA125C"/>
    <w:rsid w:val="00EA1F1F"/>
    <w:rsid w:val="00EA20E2"/>
    <w:rsid w:val="00EA4B9D"/>
    <w:rsid w:val="00EA78A6"/>
    <w:rsid w:val="00EB180D"/>
    <w:rsid w:val="00EB23E0"/>
    <w:rsid w:val="00EB5525"/>
    <w:rsid w:val="00EB5F34"/>
    <w:rsid w:val="00EB7990"/>
    <w:rsid w:val="00EB7F18"/>
    <w:rsid w:val="00EC075A"/>
    <w:rsid w:val="00EC1DC0"/>
    <w:rsid w:val="00EC4098"/>
    <w:rsid w:val="00EC49A9"/>
    <w:rsid w:val="00EC5742"/>
    <w:rsid w:val="00ED3A5E"/>
    <w:rsid w:val="00EE04DA"/>
    <w:rsid w:val="00EE1CAD"/>
    <w:rsid w:val="00EE402E"/>
    <w:rsid w:val="00EE787A"/>
    <w:rsid w:val="00EE7CD6"/>
    <w:rsid w:val="00EF0E3D"/>
    <w:rsid w:val="00EF476D"/>
    <w:rsid w:val="00EF5004"/>
    <w:rsid w:val="00F02AC7"/>
    <w:rsid w:val="00F03ECF"/>
    <w:rsid w:val="00F044B5"/>
    <w:rsid w:val="00F04ADE"/>
    <w:rsid w:val="00F1024A"/>
    <w:rsid w:val="00F11B39"/>
    <w:rsid w:val="00F1232F"/>
    <w:rsid w:val="00F147E7"/>
    <w:rsid w:val="00F14A1B"/>
    <w:rsid w:val="00F20A4D"/>
    <w:rsid w:val="00F22053"/>
    <w:rsid w:val="00F245B2"/>
    <w:rsid w:val="00F24E60"/>
    <w:rsid w:val="00F25D8B"/>
    <w:rsid w:val="00F26702"/>
    <w:rsid w:val="00F3026C"/>
    <w:rsid w:val="00F345F4"/>
    <w:rsid w:val="00F359DE"/>
    <w:rsid w:val="00F42161"/>
    <w:rsid w:val="00F42996"/>
    <w:rsid w:val="00F42F62"/>
    <w:rsid w:val="00F43202"/>
    <w:rsid w:val="00F4346F"/>
    <w:rsid w:val="00F44BFC"/>
    <w:rsid w:val="00F50F2F"/>
    <w:rsid w:val="00F51D1B"/>
    <w:rsid w:val="00F52326"/>
    <w:rsid w:val="00F54D6A"/>
    <w:rsid w:val="00F56713"/>
    <w:rsid w:val="00F57894"/>
    <w:rsid w:val="00F57A73"/>
    <w:rsid w:val="00F57FC7"/>
    <w:rsid w:val="00F63CF6"/>
    <w:rsid w:val="00F64355"/>
    <w:rsid w:val="00F64437"/>
    <w:rsid w:val="00F676E1"/>
    <w:rsid w:val="00F679F6"/>
    <w:rsid w:val="00F67ADB"/>
    <w:rsid w:val="00F70BF0"/>
    <w:rsid w:val="00F73183"/>
    <w:rsid w:val="00F73ECA"/>
    <w:rsid w:val="00F8556B"/>
    <w:rsid w:val="00F85D0E"/>
    <w:rsid w:val="00F85E0D"/>
    <w:rsid w:val="00F91496"/>
    <w:rsid w:val="00F91AF3"/>
    <w:rsid w:val="00F92857"/>
    <w:rsid w:val="00F97D27"/>
    <w:rsid w:val="00FA1765"/>
    <w:rsid w:val="00FA1AB8"/>
    <w:rsid w:val="00FA1E90"/>
    <w:rsid w:val="00FA211E"/>
    <w:rsid w:val="00FA41AE"/>
    <w:rsid w:val="00FA5199"/>
    <w:rsid w:val="00FA6C54"/>
    <w:rsid w:val="00FB0271"/>
    <w:rsid w:val="00FB051D"/>
    <w:rsid w:val="00FB13BD"/>
    <w:rsid w:val="00FB3C96"/>
    <w:rsid w:val="00FB3D25"/>
    <w:rsid w:val="00FB46FD"/>
    <w:rsid w:val="00FB71D7"/>
    <w:rsid w:val="00FC1DF5"/>
    <w:rsid w:val="00FC42E8"/>
    <w:rsid w:val="00FC4B5F"/>
    <w:rsid w:val="00FC79A1"/>
    <w:rsid w:val="00FD10E0"/>
    <w:rsid w:val="00FD34F9"/>
    <w:rsid w:val="00FD3543"/>
    <w:rsid w:val="00FD36B3"/>
    <w:rsid w:val="00FD398E"/>
    <w:rsid w:val="00FD438E"/>
    <w:rsid w:val="00FD4FF6"/>
    <w:rsid w:val="00FD64DA"/>
    <w:rsid w:val="00FD6A1E"/>
    <w:rsid w:val="00FD7BAA"/>
    <w:rsid w:val="00FE2323"/>
    <w:rsid w:val="00FE2888"/>
    <w:rsid w:val="00FE2D95"/>
    <w:rsid w:val="00FE306F"/>
    <w:rsid w:val="00FE4175"/>
    <w:rsid w:val="00FE6D68"/>
    <w:rsid w:val="00FE7A84"/>
    <w:rsid w:val="00FF422D"/>
    <w:rsid w:val="00FF5448"/>
    <w:rsid w:val="00FF6502"/>
    <w:rsid w:val="00FF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2AAFD-2F40-4FAF-8A6D-FE60CA5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F9F"/>
    <w:rPr>
      <w:rFonts w:ascii="Arial" w:hAnsi="Arial"/>
      <w:sz w:val="24"/>
    </w:rPr>
  </w:style>
  <w:style w:type="paragraph" w:styleId="Heading2">
    <w:name w:val="heading 2"/>
    <w:basedOn w:val="Normal"/>
    <w:next w:val="Normal"/>
    <w:link w:val="Heading2Char"/>
    <w:uiPriority w:val="9"/>
    <w:unhideWhenUsed/>
    <w:qFormat/>
    <w:rsid w:val="002A3B51"/>
    <w:pPr>
      <w:autoSpaceDE w:val="0"/>
      <w:autoSpaceDN w:val="0"/>
      <w:adjustRightInd w:val="0"/>
      <w:spacing w:after="0" w:line="240" w:lineRule="auto"/>
      <w:jc w:val="both"/>
      <w:outlineLvl w:val="1"/>
    </w:pPr>
    <w:rPr>
      <w:rFonts w:ascii="Lucida Sans" w:eastAsia="Times New Roman" w:hAnsi="Lucida Sans" w:cs="Tahoma"/>
      <w:b/>
      <w:szCs w:val="20"/>
      <w:lang w:eastAsia="en-GB"/>
    </w:rPr>
  </w:style>
  <w:style w:type="paragraph" w:styleId="Heading3">
    <w:name w:val="heading 3"/>
    <w:basedOn w:val="Normal"/>
    <w:next w:val="Normal"/>
    <w:link w:val="Heading3Char"/>
    <w:uiPriority w:val="9"/>
    <w:unhideWhenUsed/>
    <w:qFormat/>
    <w:rsid w:val="000D4D9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10"/>
    <w:rPr>
      <w:rFonts w:ascii="Tahoma" w:hAnsi="Tahoma" w:cs="Tahoma"/>
      <w:sz w:val="16"/>
      <w:szCs w:val="16"/>
    </w:rPr>
  </w:style>
  <w:style w:type="paragraph" w:styleId="ListParagraph">
    <w:name w:val="List Paragraph"/>
    <w:basedOn w:val="Normal"/>
    <w:uiPriority w:val="34"/>
    <w:qFormat/>
    <w:rsid w:val="005A1D10"/>
    <w:pPr>
      <w:ind w:left="720"/>
      <w:contextualSpacing/>
    </w:pPr>
  </w:style>
  <w:style w:type="paragraph" w:styleId="Header">
    <w:name w:val="header"/>
    <w:basedOn w:val="Normal"/>
    <w:link w:val="HeaderChar"/>
    <w:uiPriority w:val="99"/>
    <w:unhideWhenUsed/>
    <w:rsid w:val="00212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E26"/>
    <w:rPr>
      <w:rFonts w:ascii="Arial" w:hAnsi="Arial"/>
      <w:sz w:val="24"/>
    </w:rPr>
  </w:style>
  <w:style w:type="paragraph" w:styleId="Footer">
    <w:name w:val="footer"/>
    <w:basedOn w:val="Normal"/>
    <w:link w:val="FooterChar"/>
    <w:uiPriority w:val="99"/>
    <w:unhideWhenUsed/>
    <w:rsid w:val="0021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E26"/>
    <w:rPr>
      <w:rFonts w:ascii="Arial" w:hAnsi="Arial"/>
      <w:sz w:val="24"/>
    </w:rPr>
  </w:style>
  <w:style w:type="table" w:styleId="TableGrid">
    <w:name w:val="Table Grid"/>
    <w:basedOn w:val="TableNormal"/>
    <w:rsid w:val="00F0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3B51"/>
    <w:rPr>
      <w:rFonts w:ascii="Lucida Sans" w:eastAsia="Times New Roman" w:hAnsi="Lucida Sans" w:cs="Tahoma"/>
      <w:b/>
      <w:sz w:val="24"/>
      <w:szCs w:val="20"/>
      <w:lang w:eastAsia="en-GB"/>
    </w:rPr>
  </w:style>
  <w:style w:type="paragraph" w:customStyle="1" w:styleId="BodyText1">
    <w:name w:val="Body Text 1"/>
    <w:basedOn w:val="Normal"/>
    <w:link w:val="BodyText1Char"/>
    <w:qFormat/>
    <w:rsid w:val="002A3B51"/>
    <w:pPr>
      <w:spacing w:before="60" w:after="120" w:line="240" w:lineRule="auto"/>
    </w:pPr>
    <w:rPr>
      <w:rFonts w:eastAsia="Cambria" w:cs="Times New Roman"/>
      <w:color w:val="000000"/>
      <w:szCs w:val="28"/>
    </w:rPr>
  </w:style>
  <w:style w:type="character" w:customStyle="1" w:styleId="BodyText1Char">
    <w:name w:val="Body Text 1 Char"/>
    <w:basedOn w:val="DefaultParagraphFont"/>
    <w:link w:val="BodyText1"/>
    <w:rsid w:val="002A3B51"/>
    <w:rPr>
      <w:rFonts w:ascii="Arial" w:eastAsia="Cambria" w:hAnsi="Arial" w:cs="Times New Roman"/>
      <w:color w:val="000000"/>
      <w:sz w:val="24"/>
      <w:szCs w:val="28"/>
    </w:rPr>
  </w:style>
  <w:style w:type="paragraph" w:customStyle="1" w:styleId="Default">
    <w:name w:val="Default"/>
    <w:rsid w:val="002A3B5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rsid w:val="000D4D9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D4D95"/>
    <w:pPr>
      <w:spacing w:after="288" w:line="255" w:lineRule="atLeast"/>
    </w:pPr>
    <w:rPr>
      <w:rFonts w:ascii="Times New Roman" w:eastAsia="Times New Roman" w:hAnsi="Times New Roman" w:cs="Times New Roman"/>
      <w:szCs w:val="24"/>
      <w:lang w:eastAsia="en-GB"/>
    </w:rPr>
  </w:style>
  <w:style w:type="paragraph" w:customStyle="1" w:styleId="font8">
    <w:name w:val="font_8"/>
    <w:basedOn w:val="Normal"/>
    <w:rsid w:val="00FA519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olor14">
    <w:name w:val="color_14"/>
    <w:basedOn w:val="DefaultParagraphFont"/>
    <w:rsid w:val="00FA5199"/>
  </w:style>
  <w:style w:type="character" w:customStyle="1" w:styleId="A0">
    <w:name w:val="A0"/>
    <w:uiPriority w:val="99"/>
    <w:rsid w:val="00982F0E"/>
    <w:rPr>
      <w:rFonts w:ascii="Verdana" w:hAnsi="Verdana" w:cs="Verdana"/>
      <w:color w:val="000000"/>
      <w:sz w:val="20"/>
      <w:szCs w:val="20"/>
    </w:rPr>
  </w:style>
  <w:style w:type="character" w:styleId="Hyperlink">
    <w:name w:val="Hyperlink"/>
    <w:basedOn w:val="DefaultParagraphFont"/>
    <w:uiPriority w:val="99"/>
    <w:unhideWhenUsed/>
    <w:rsid w:val="00CC6E2A"/>
    <w:rPr>
      <w:color w:val="0000FF" w:themeColor="hyperlink"/>
      <w:u w:val="single"/>
    </w:rPr>
  </w:style>
  <w:style w:type="character" w:styleId="FollowedHyperlink">
    <w:name w:val="FollowedHyperlink"/>
    <w:basedOn w:val="DefaultParagraphFont"/>
    <w:uiPriority w:val="99"/>
    <w:semiHidden/>
    <w:unhideWhenUsed/>
    <w:rsid w:val="00CC6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04">
      <w:bodyDiv w:val="1"/>
      <w:marLeft w:val="0"/>
      <w:marRight w:val="0"/>
      <w:marTop w:val="0"/>
      <w:marBottom w:val="0"/>
      <w:divBdr>
        <w:top w:val="none" w:sz="0" w:space="0" w:color="auto"/>
        <w:left w:val="none" w:sz="0" w:space="0" w:color="auto"/>
        <w:bottom w:val="none" w:sz="0" w:space="0" w:color="auto"/>
        <w:right w:val="none" w:sz="0" w:space="0" w:color="auto"/>
      </w:divBdr>
    </w:div>
    <w:div w:id="983133">
      <w:bodyDiv w:val="1"/>
      <w:marLeft w:val="0"/>
      <w:marRight w:val="0"/>
      <w:marTop w:val="0"/>
      <w:marBottom w:val="0"/>
      <w:divBdr>
        <w:top w:val="none" w:sz="0" w:space="0" w:color="auto"/>
        <w:left w:val="none" w:sz="0" w:space="0" w:color="auto"/>
        <w:bottom w:val="none" w:sz="0" w:space="0" w:color="auto"/>
        <w:right w:val="none" w:sz="0" w:space="0" w:color="auto"/>
      </w:divBdr>
    </w:div>
    <w:div w:id="53705271">
      <w:bodyDiv w:val="1"/>
      <w:marLeft w:val="0"/>
      <w:marRight w:val="0"/>
      <w:marTop w:val="0"/>
      <w:marBottom w:val="0"/>
      <w:divBdr>
        <w:top w:val="none" w:sz="0" w:space="0" w:color="auto"/>
        <w:left w:val="none" w:sz="0" w:space="0" w:color="auto"/>
        <w:bottom w:val="none" w:sz="0" w:space="0" w:color="auto"/>
        <w:right w:val="none" w:sz="0" w:space="0" w:color="auto"/>
      </w:divBdr>
    </w:div>
    <w:div w:id="104471372">
      <w:bodyDiv w:val="1"/>
      <w:marLeft w:val="0"/>
      <w:marRight w:val="0"/>
      <w:marTop w:val="0"/>
      <w:marBottom w:val="0"/>
      <w:divBdr>
        <w:top w:val="none" w:sz="0" w:space="0" w:color="auto"/>
        <w:left w:val="none" w:sz="0" w:space="0" w:color="auto"/>
        <w:bottom w:val="none" w:sz="0" w:space="0" w:color="auto"/>
        <w:right w:val="none" w:sz="0" w:space="0" w:color="auto"/>
      </w:divBdr>
      <w:divsChild>
        <w:div w:id="1763843014">
          <w:marLeft w:val="547"/>
          <w:marRight w:val="0"/>
          <w:marTop w:val="154"/>
          <w:marBottom w:val="0"/>
          <w:divBdr>
            <w:top w:val="none" w:sz="0" w:space="0" w:color="auto"/>
            <w:left w:val="none" w:sz="0" w:space="0" w:color="auto"/>
            <w:bottom w:val="none" w:sz="0" w:space="0" w:color="auto"/>
            <w:right w:val="none" w:sz="0" w:space="0" w:color="auto"/>
          </w:divBdr>
        </w:div>
        <w:div w:id="945624883">
          <w:marLeft w:val="547"/>
          <w:marRight w:val="0"/>
          <w:marTop w:val="154"/>
          <w:marBottom w:val="0"/>
          <w:divBdr>
            <w:top w:val="none" w:sz="0" w:space="0" w:color="auto"/>
            <w:left w:val="none" w:sz="0" w:space="0" w:color="auto"/>
            <w:bottom w:val="none" w:sz="0" w:space="0" w:color="auto"/>
            <w:right w:val="none" w:sz="0" w:space="0" w:color="auto"/>
          </w:divBdr>
        </w:div>
        <w:div w:id="637077811">
          <w:marLeft w:val="547"/>
          <w:marRight w:val="0"/>
          <w:marTop w:val="154"/>
          <w:marBottom w:val="0"/>
          <w:divBdr>
            <w:top w:val="none" w:sz="0" w:space="0" w:color="auto"/>
            <w:left w:val="none" w:sz="0" w:space="0" w:color="auto"/>
            <w:bottom w:val="none" w:sz="0" w:space="0" w:color="auto"/>
            <w:right w:val="none" w:sz="0" w:space="0" w:color="auto"/>
          </w:divBdr>
        </w:div>
        <w:div w:id="2033794900">
          <w:marLeft w:val="547"/>
          <w:marRight w:val="0"/>
          <w:marTop w:val="154"/>
          <w:marBottom w:val="0"/>
          <w:divBdr>
            <w:top w:val="none" w:sz="0" w:space="0" w:color="auto"/>
            <w:left w:val="none" w:sz="0" w:space="0" w:color="auto"/>
            <w:bottom w:val="none" w:sz="0" w:space="0" w:color="auto"/>
            <w:right w:val="none" w:sz="0" w:space="0" w:color="auto"/>
          </w:divBdr>
        </w:div>
      </w:divsChild>
    </w:div>
    <w:div w:id="122578202">
      <w:bodyDiv w:val="1"/>
      <w:marLeft w:val="0"/>
      <w:marRight w:val="0"/>
      <w:marTop w:val="0"/>
      <w:marBottom w:val="0"/>
      <w:divBdr>
        <w:top w:val="none" w:sz="0" w:space="0" w:color="auto"/>
        <w:left w:val="none" w:sz="0" w:space="0" w:color="auto"/>
        <w:bottom w:val="none" w:sz="0" w:space="0" w:color="auto"/>
        <w:right w:val="none" w:sz="0" w:space="0" w:color="auto"/>
      </w:divBdr>
    </w:div>
    <w:div w:id="215239142">
      <w:bodyDiv w:val="1"/>
      <w:marLeft w:val="0"/>
      <w:marRight w:val="0"/>
      <w:marTop w:val="0"/>
      <w:marBottom w:val="0"/>
      <w:divBdr>
        <w:top w:val="none" w:sz="0" w:space="0" w:color="auto"/>
        <w:left w:val="none" w:sz="0" w:space="0" w:color="auto"/>
        <w:bottom w:val="none" w:sz="0" w:space="0" w:color="auto"/>
        <w:right w:val="none" w:sz="0" w:space="0" w:color="auto"/>
      </w:divBdr>
    </w:div>
    <w:div w:id="334306219">
      <w:bodyDiv w:val="1"/>
      <w:marLeft w:val="0"/>
      <w:marRight w:val="0"/>
      <w:marTop w:val="0"/>
      <w:marBottom w:val="0"/>
      <w:divBdr>
        <w:top w:val="none" w:sz="0" w:space="0" w:color="auto"/>
        <w:left w:val="none" w:sz="0" w:space="0" w:color="auto"/>
        <w:bottom w:val="none" w:sz="0" w:space="0" w:color="auto"/>
        <w:right w:val="none" w:sz="0" w:space="0" w:color="auto"/>
      </w:divBdr>
    </w:div>
    <w:div w:id="384642371">
      <w:bodyDiv w:val="1"/>
      <w:marLeft w:val="0"/>
      <w:marRight w:val="0"/>
      <w:marTop w:val="0"/>
      <w:marBottom w:val="0"/>
      <w:divBdr>
        <w:top w:val="none" w:sz="0" w:space="0" w:color="auto"/>
        <w:left w:val="none" w:sz="0" w:space="0" w:color="auto"/>
        <w:bottom w:val="none" w:sz="0" w:space="0" w:color="auto"/>
        <w:right w:val="none" w:sz="0" w:space="0" w:color="auto"/>
      </w:divBdr>
    </w:div>
    <w:div w:id="408163271">
      <w:bodyDiv w:val="1"/>
      <w:marLeft w:val="0"/>
      <w:marRight w:val="0"/>
      <w:marTop w:val="0"/>
      <w:marBottom w:val="0"/>
      <w:divBdr>
        <w:top w:val="none" w:sz="0" w:space="0" w:color="auto"/>
        <w:left w:val="none" w:sz="0" w:space="0" w:color="auto"/>
        <w:bottom w:val="none" w:sz="0" w:space="0" w:color="auto"/>
        <w:right w:val="none" w:sz="0" w:space="0" w:color="auto"/>
      </w:divBdr>
    </w:div>
    <w:div w:id="518156898">
      <w:bodyDiv w:val="1"/>
      <w:marLeft w:val="0"/>
      <w:marRight w:val="0"/>
      <w:marTop w:val="0"/>
      <w:marBottom w:val="0"/>
      <w:divBdr>
        <w:top w:val="none" w:sz="0" w:space="0" w:color="auto"/>
        <w:left w:val="none" w:sz="0" w:space="0" w:color="auto"/>
        <w:bottom w:val="none" w:sz="0" w:space="0" w:color="auto"/>
        <w:right w:val="none" w:sz="0" w:space="0" w:color="auto"/>
      </w:divBdr>
    </w:div>
    <w:div w:id="582760925">
      <w:bodyDiv w:val="1"/>
      <w:marLeft w:val="0"/>
      <w:marRight w:val="0"/>
      <w:marTop w:val="0"/>
      <w:marBottom w:val="0"/>
      <w:divBdr>
        <w:top w:val="none" w:sz="0" w:space="0" w:color="auto"/>
        <w:left w:val="none" w:sz="0" w:space="0" w:color="auto"/>
        <w:bottom w:val="none" w:sz="0" w:space="0" w:color="auto"/>
        <w:right w:val="none" w:sz="0" w:space="0" w:color="auto"/>
      </w:divBdr>
    </w:div>
    <w:div w:id="625351479">
      <w:bodyDiv w:val="1"/>
      <w:marLeft w:val="0"/>
      <w:marRight w:val="0"/>
      <w:marTop w:val="0"/>
      <w:marBottom w:val="0"/>
      <w:divBdr>
        <w:top w:val="none" w:sz="0" w:space="0" w:color="auto"/>
        <w:left w:val="none" w:sz="0" w:space="0" w:color="auto"/>
        <w:bottom w:val="none" w:sz="0" w:space="0" w:color="auto"/>
        <w:right w:val="none" w:sz="0" w:space="0" w:color="auto"/>
      </w:divBdr>
      <w:divsChild>
        <w:div w:id="1657418149">
          <w:marLeft w:val="0"/>
          <w:marRight w:val="0"/>
          <w:marTop w:val="0"/>
          <w:marBottom w:val="0"/>
          <w:divBdr>
            <w:top w:val="none" w:sz="0" w:space="0" w:color="auto"/>
            <w:left w:val="none" w:sz="0" w:space="0" w:color="auto"/>
            <w:bottom w:val="none" w:sz="0" w:space="0" w:color="auto"/>
            <w:right w:val="none" w:sz="0" w:space="0" w:color="auto"/>
          </w:divBdr>
          <w:divsChild>
            <w:div w:id="2026177075">
              <w:marLeft w:val="0"/>
              <w:marRight w:val="0"/>
              <w:marTop w:val="0"/>
              <w:marBottom w:val="0"/>
              <w:divBdr>
                <w:top w:val="none" w:sz="0" w:space="0" w:color="auto"/>
                <w:left w:val="none" w:sz="0" w:space="0" w:color="auto"/>
                <w:bottom w:val="none" w:sz="0" w:space="0" w:color="auto"/>
                <w:right w:val="none" w:sz="0" w:space="0" w:color="auto"/>
              </w:divBdr>
              <w:divsChild>
                <w:div w:id="1883902677">
                  <w:marLeft w:val="0"/>
                  <w:marRight w:val="0"/>
                  <w:marTop w:val="0"/>
                  <w:marBottom w:val="0"/>
                  <w:divBdr>
                    <w:top w:val="none" w:sz="0" w:space="0" w:color="auto"/>
                    <w:left w:val="none" w:sz="0" w:space="0" w:color="auto"/>
                    <w:bottom w:val="none" w:sz="0" w:space="0" w:color="auto"/>
                    <w:right w:val="none" w:sz="0" w:space="0" w:color="auto"/>
                  </w:divBdr>
                  <w:divsChild>
                    <w:div w:id="1442340053">
                      <w:marLeft w:val="0"/>
                      <w:marRight w:val="0"/>
                      <w:marTop w:val="0"/>
                      <w:marBottom w:val="0"/>
                      <w:divBdr>
                        <w:top w:val="none" w:sz="0" w:space="0" w:color="auto"/>
                        <w:left w:val="none" w:sz="0" w:space="0" w:color="auto"/>
                        <w:bottom w:val="none" w:sz="0" w:space="0" w:color="auto"/>
                        <w:right w:val="none" w:sz="0" w:space="0" w:color="auto"/>
                      </w:divBdr>
                      <w:divsChild>
                        <w:div w:id="1481997463">
                          <w:marLeft w:val="0"/>
                          <w:marRight w:val="0"/>
                          <w:marTop w:val="0"/>
                          <w:marBottom w:val="0"/>
                          <w:divBdr>
                            <w:top w:val="none" w:sz="0" w:space="0" w:color="auto"/>
                            <w:left w:val="none" w:sz="0" w:space="0" w:color="auto"/>
                            <w:bottom w:val="none" w:sz="0" w:space="0" w:color="auto"/>
                            <w:right w:val="none" w:sz="0" w:space="0" w:color="auto"/>
                          </w:divBdr>
                          <w:divsChild>
                            <w:div w:id="1023870825">
                              <w:marLeft w:val="0"/>
                              <w:marRight w:val="0"/>
                              <w:marTop w:val="0"/>
                              <w:marBottom w:val="0"/>
                              <w:divBdr>
                                <w:top w:val="none" w:sz="0" w:space="0" w:color="auto"/>
                                <w:left w:val="none" w:sz="0" w:space="0" w:color="auto"/>
                                <w:bottom w:val="none" w:sz="0" w:space="0" w:color="auto"/>
                                <w:right w:val="none" w:sz="0" w:space="0" w:color="auto"/>
                              </w:divBdr>
                              <w:divsChild>
                                <w:div w:id="1006861319">
                                  <w:marLeft w:val="0"/>
                                  <w:marRight w:val="0"/>
                                  <w:marTop w:val="0"/>
                                  <w:marBottom w:val="0"/>
                                  <w:divBdr>
                                    <w:top w:val="none" w:sz="0" w:space="0" w:color="auto"/>
                                    <w:left w:val="none" w:sz="0" w:space="0" w:color="auto"/>
                                    <w:bottom w:val="none" w:sz="0" w:space="0" w:color="auto"/>
                                    <w:right w:val="none" w:sz="0" w:space="0" w:color="auto"/>
                                  </w:divBdr>
                                  <w:divsChild>
                                    <w:div w:id="6251755">
                                      <w:marLeft w:val="0"/>
                                      <w:marRight w:val="0"/>
                                      <w:marTop w:val="0"/>
                                      <w:marBottom w:val="0"/>
                                      <w:divBdr>
                                        <w:top w:val="none" w:sz="0" w:space="0" w:color="auto"/>
                                        <w:left w:val="none" w:sz="0" w:space="0" w:color="auto"/>
                                        <w:bottom w:val="none" w:sz="0" w:space="0" w:color="auto"/>
                                        <w:right w:val="none" w:sz="0" w:space="0" w:color="auto"/>
                                      </w:divBdr>
                                      <w:divsChild>
                                        <w:div w:id="323092743">
                                          <w:marLeft w:val="0"/>
                                          <w:marRight w:val="0"/>
                                          <w:marTop w:val="0"/>
                                          <w:marBottom w:val="0"/>
                                          <w:divBdr>
                                            <w:top w:val="none" w:sz="0" w:space="0" w:color="auto"/>
                                            <w:left w:val="none" w:sz="0" w:space="0" w:color="auto"/>
                                            <w:bottom w:val="none" w:sz="0" w:space="0" w:color="auto"/>
                                            <w:right w:val="none" w:sz="0" w:space="0" w:color="auto"/>
                                          </w:divBdr>
                                          <w:divsChild>
                                            <w:div w:id="1974215993">
                                              <w:marLeft w:val="0"/>
                                              <w:marRight w:val="0"/>
                                              <w:marTop w:val="0"/>
                                              <w:marBottom w:val="0"/>
                                              <w:divBdr>
                                                <w:top w:val="none" w:sz="0" w:space="0" w:color="auto"/>
                                                <w:left w:val="none" w:sz="0" w:space="0" w:color="auto"/>
                                                <w:bottom w:val="none" w:sz="0" w:space="0" w:color="auto"/>
                                                <w:right w:val="none" w:sz="0" w:space="0" w:color="auto"/>
                                              </w:divBdr>
                                              <w:divsChild>
                                                <w:div w:id="11748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369940">
      <w:bodyDiv w:val="1"/>
      <w:marLeft w:val="0"/>
      <w:marRight w:val="0"/>
      <w:marTop w:val="0"/>
      <w:marBottom w:val="0"/>
      <w:divBdr>
        <w:top w:val="none" w:sz="0" w:space="0" w:color="auto"/>
        <w:left w:val="none" w:sz="0" w:space="0" w:color="auto"/>
        <w:bottom w:val="none" w:sz="0" w:space="0" w:color="auto"/>
        <w:right w:val="none" w:sz="0" w:space="0" w:color="auto"/>
      </w:divBdr>
    </w:div>
    <w:div w:id="744381487">
      <w:bodyDiv w:val="1"/>
      <w:marLeft w:val="0"/>
      <w:marRight w:val="0"/>
      <w:marTop w:val="0"/>
      <w:marBottom w:val="0"/>
      <w:divBdr>
        <w:top w:val="none" w:sz="0" w:space="0" w:color="auto"/>
        <w:left w:val="none" w:sz="0" w:space="0" w:color="auto"/>
        <w:bottom w:val="none" w:sz="0" w:space="0" w:color="auto"/>
        <w:right w:val="none" w:sz="0" w:space="0" w:color="auto"/>
      </w:divBdr>
      <w:divsChild>
        <w:div w:id="1249578843">
          <w:marLeft w:val="0"/>
          <w:marRight w:val="0"/>
          <w:marTop w:val="0"/>
          <w:marBottom w:val="0"/>
          <w:divBdr>
            <w:top w:val="none" w:sz="0" w:space="0" w:color="auto"/>
            <w:left w:val="none" w:sz="0" w:space="0" w:color="auto"/>
            <w:bottom w:val="none" w:sz="0" w:space="0" w:color="auto"/>
            <w:right w:val="none" w:sz="0" w:space="0" w:color="auto"/>
          </w:divBdr>
          <w:divsChild>
            <w:div w:id="1220291242">
              <w:marLeft w:val="-300"/>
              <w:marRight w:val="0"/>
              <w:marTop w:val="0"/>
              <w:marBottom w:val="0"/>
              <w:divBdr>
                <w:top w:val="none" w:sz="0" w:space="0" w:color="auto"/>
                <w:left w:val="none" w:sz="0" w:space="0" w:color="auto"/>
                <w:bottom w:val="none" w:sz="0" w:space="0" w:color="auto"/>
                <w:right w:val="none" w:sz="0" w:space="0" w:color="auto"/>
              </w:divBdr>
              <w:divsChild>
                <w:div w:id="1786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6824">
      <w:bodyDiv w:val="1"/>
      <w:marLeft w:val="0"/>
      <w:marRight w:val="0"/>
      <w:marTop w:val="0"/>
      <w:marBottom w:val="0"/>
      <w:divBdr>
        <w:top w:val="none" w:sz="0" w:space="0" w:color="auto"/>
        <w:left w:val="none" w:sz="0" w:space="0" w:color="auto"/>
        <w:bottom w:val="none" w:sz="0" w:space="0" w:color="auto"/>
        <w:right w:val="none" w:sz="0" w:space="0" w:color="auto"/>
      </w:divBdr>
    </w:div>
    <w:div w:id="768934364">
      <w:bodyDiv w:val="1"/>
      <w:marLeft w:val="0"/>
      <w:marRight w:val="0"/>
      <w:marTop w:val="0"/>
      <w:marBottom w:val="0"/>
      <w:divBdr>
        <w:top w:val="none" w:sz="0" w:space="0" w:color="auto"/>
        <w:left w:val="none" w:sz="0" w:space="0" w:color="auto"/>
        <w:bottom w:val="none" w:sz="0" w:space="0" w:color="auto"/>
        <w:right w:val="none" w:sz="0" w:space="0" w:color="auto"/>
      </w:divBdr>
    </w:div>
    <w:div w:id="789544918">
      <w:bodyDiv w:val="1"/>
      <w:marLeft w:val="0"/>
      <w:marRight w:val="0"/>
      <w:marTop w:val="0"/>
      <w:marBottom w:val="0"/>
      <w:divBdr>
        <w:top w:val="none" w:sz="0" w:space="0" w:color="auto"/>
        <w:left w:val="none" w:sz="0" w:space="0" w:color="auto"/>
        <w:bottom w:val="none" w:sz="0" w:space="0" w:color="auto"/>
        <w:right w:val="none" w:sz="0" w:space="0" w:color="auto"/>
      </w:divBdr>
    </w:div>
    <w:div w:id="825632652">
      <w:bodyDiv w:val="1"/>
      <w:marLeft w:val="0"/>
      <w:marRight w:val="0"/>
      <w:marTop w:val="0"/>
      <w:marBottom w:val="0"/>
      <w:divBdr>
        <w:top w:val="none" w:sz="0" w:space="0" w:color="auto"/>
        <w:left w:val="none" w:sz="0" w:space="0" w:color="auto"/>
        <w:bottom w:val="none" w:sz="0" w:space="0" w:color="auto"/>
        <w:right w:val="none" w:sz="0" w:space="0" w:color="auto"/>
      </w:divBdr>
    </w:div>
    <w:div w:id="1034814086">
      <w:bodyDiv w:val="1"/>
      <w:marLeft w:val="0"/>
      <w:marRight w:val="0"/>
      <w:marTop w:val="0"/>
      <w:marBottom w:val="0"/>
      <w:divBdr>
        <w:top w:val="none" w:sz="0" w:space="0" w:color="auto"/>
        <w:left w:val="none" w:sz="0" w:space="0" w:color="auto"/>
        <w:bottom w:val="none" w:sz="0" w:space="0" w:color="auto"/>
        <w:right w:val="none" w:sz="0" w:space="0" w:color="auto"/>
      </w:divBdr>
    </w:div>
    <w:div w:id="1422723338">
      <w:bodyDiv w:val="1"/>
      <w:marLeft w:val="0"/>
      <w:marRight w:val="0"/>
      <w:marTop w:val="0"/>
      <w:marBottom w:val="0"/>
      <w:divBdr>
        <w:top w:val="none" w:sz="0" w:space="0" w:color="auto"/>
        <w:left w:val="none" w:sz="0" w:space="0" w:color="auto"/>
        <w:bottom w:val="none" w:sz="0" w:space="0" w:color="auto"/>
        <w:right w:val="none" w:sz="0" w:space="0" w:color="auto"/>
      </w:divBdr>
    </w:div>
    <w:div w:id="1431002754">
      <w:bodyDiv w:val="1"/>
      <w:marLeft w:val="0"/>
      <w:marRight w:val="0"/>
      <w:marTop w:val="0"/>
      <w:marBottom w:val="0"/>
      <w:divBdr>
        <w:top w:val="none" w:sz="0" w:space="0" w:color="auto"/>
        <w:left w:val="none" w:sz="0" w:space="0" w:color="auto"/>
        <w:bottom w:val="none" w:sz="0" w:space="0" w:color="auto"/>
        <w:right w:val="none" w:sz="0" w:space="0" w:color="auto"/>
      </w:divBdr>
    </w:div>
    <w:div w:id="1448305996">
      <w:bodyDiv w:val="1"/>
      <w:marLeft w:val="0"/>
      <w:marRight w:val="0"/>
      <w:marTop w:val="0"/>
      <w:marBottom w:val="0"/>
      <w:divBdr>
        <w:top w:val="none" w:sz="0" w:space="0" w:color="auto"/>
        <w:left w:val="none" w:sz="0" w:space="0" w:color="auto"/>
        <w:bottom w:val="none" w:sz="0" w:space="0" w:color="auto"/>
        <w:right w:val="none" w:sz="0" w:space="0" w:color="auto"/>
      </w:divBdr>
    </w:div>
    <w:div w:id="1498809407">
      <w:bodyDiv w:val="1"/>
      <w:marLeft w:val="0"/>
      <w:marRight w:val="0"/>
      <w:marTop w:val="0"/>
      <w:marBottom w:val="0"/>
      <w:divBdr>
        <w:top w:val="none" w:sz="0" w:space="0" w:color="auto"/>
        <w:left w:val="none" w:sz="0" w:space="0" w:color="auto"/>
        <w:bottom w:val="none" w:sz="0" w:space="0" w:color="auto"/>
        <w:right w:val="none" w:sz="0" w:space="0" w:color="auto"/>
      </w:divBdr>
    </w:div>
    <w:div w:id="1545676408">
      <w:bodyDiv w:val="1"/>
      <w:marLeft w:val="0"/>
      <w:marRight w:val="0"/>
      <w:marTop w:val="0"/>
      <w:marBottom w:val="0"/>
      <w:divBdr>
        <w:top w:val="none" w:sz="0" w:space="0" w:color="auto"/>
        <w:left w:val="none" w:sz="0" w:space="0" w:color="auto"/>
        <w:bottom w:val="none" w:sz="0" w:space="0" w:color="auto"/>
        <w:right w:val="none" w:sz="0" w:space="0" w:color="auto"/>
      </w:divBdr>
    </w:div>
    <w:div w:id="1639920843">
      <w:bodyDiv w:val="1"/>
      <w:marLeft w:val="0"/>
      <w:marRight w:val="0"/>
      <w:marTop w:val="0"/>
      <w:marBottom w:val="0"/>
      <w:divBdr>
        <w:top w:val="none" w:sz="0" w:space="0" w:color="auto"/>
        <w:left w:val="none" w:sz="0" w:space="0" w:color="auto"/>
        <w:bottom w:val="none" w:sz="0" w:space="0" w:color="auto"/>
        <w:right w:val="none" w:sz="0" w:space="0" w:color="auto"/>
      </w:divBdr>
      <w:divsChild>
        <w:div w:id="155539475">
          <w:marLeft w:val="0"/>
          <w:marRight w:val="0"/>
          <w:marTop w:val="0"/>
          <w:marBottom w:val="0"/>
          <w:divBdr>
            <w:top w:val="none" w:sz="0" w:space="0" w:color="auto"/>
            <w:left w:val="none" w:sz="0" w:space="0" w:color="auto"/>
            <w:bottom w:val="none" w:sz="0" w:space="0" w:color="auto"/>
            <w:right w:val="none" w:sz="0" w:space="0" w:color="auto"/>
          </w:divBdr>
          <w:divsChild>
            <w:div w:id="1571966568">
              <w:marLeft w:val="0"/>
              <w:marRight w:val="0"/>
              <w:marTop w:val="0"/>
              <w:marBottom w:val="0"/>
              <w:divBdr>
                <w:top w:val="none" w:sz="0" w:space="0" w:color="auto"/>
                <w:left w:val="none" w:sz="0" w:space="0" w:color="auto"/>
                <w:bottom w:val="none" w:sz="0" w:space="0" w:color="auto"/>
                <w:right w:val="none" w:sz="0" w:space="0" w:color="auto"/>
              </w:divBdr>
              <w:divsChild>
                <w:div w:id="506139411">
                  <w:marLeft w:val="0"/>
                  <w:marRight w:val="0"/>
                  <w:marTop w:val="0"/>
                  <w:marBottom w:val="0"/>
                  <w:divBdr>
                    <w:top w:val="none" w:sz="0" w:space="0" w:color="auto"/>
                    <w:left w:val="none" w:sz="0" w:space="0" w:color="auto"/>
                    <w:bottom w:val="none" w:sz="0" w:space="0" w:color="auto"/>
                    <w:right w:val="none" w:sz="0" w:space="0" w:color="auto"/>
                  </w:divBdr>
                  <w:divsChild>
                    <w:div w:id="742338788">
                      <w:marLeft w:val="0"/>
                      <w:marRight w:val="0"/>
                      <w:marTop w:val="0"/>
                      <w:marBottom w:val="0"/>
                      <w:divBdr>
                        <w:top w:val="none" w:sz="0" w:space="0" w:color="auto"/>
                        <w:left w:val="none" w:sz="0" w:space="0" w:color="auto"/>
                        <w:bottom w:val="none" w:sz="0" w:space="0" w:color="auto"/>
                        <w:right w:val="none" w:sz="0" w:space="0" w:color="auto"/>
                      </w:divBdr>
                      <w:divsChild>
                        <w:div w:id="614411245">
                          <w:marLeft w:val="0"/>
                          <w:marRight w:val="0"/>
                          <w:marTop w:val="0"/>
                          <w:marBottom w:val="0"/>
                          <w:divBdr>
                            <w:top w:val="none" w:sz="0" w:space="0" w:color="auto"/>
                            <w:left w:val="none" w:sz="0" w:space="0" w:color="auto"/>
                            <w:bottom w:val="none" w:sz="0" w:space="0" w:color="auto"/>
                            <w:right w:val="none" w:sz="0" w:space="0" w:color="auto"/>
                          </w:divBdr>
                          <w:divsChild>
                            <w:div w:id="3519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23958">
      <w:bodyDiv w:val="1"/>
      <w:marLeft w:val="0"/>
      <w:marRight w:val="0"/>
      <w:marTop w:val="0"/>
      <w:marBottom w:val="0"/>
      <w:divBdr>
        <w:top w:val="none" w:sz="0" w:space="0" w:color="auto"/>
        <w:left w:val="none" w:sz="0" w:space="0" w:color="auto"/>
        <w:bottom w:val="none" w:sz="0" w:space="0" w:color="auto"/>
        <w:right w:val="none" w:sz="0" w:space="0" w:color="auto"/>
      </w:divBdr>
    </w:div>
    <w:div w:id="1821774762">
      <w:bodyDiv w:val="1"/>
      <w:marLeft w:val="0"/>
      <w:marRight w:val="0"/>
      <w:marTop w:val="0"/>
      <w:marBottom w:val="0"/>
      <w:divBdr>
        <w:top w:val="none" w:sz="0" w:space="0" w:color="auto"/>
        <w:left w:val="none" w:sz="0" w:space="0" w:color="auto"/>
        <w:bottom w:val="none" w:sz="0" w:space="0" w:color="auto"/>
        <w:right w:val="none" w:sz="0" w:space="0" w:color="auto"/>
      </w:divBdr>
    </w:div>
    <w:div w:id="2111702281">
      <w:bodyDiv w:val="1"/>
      <w:marLeft w:val="0"/>
      <w:marRight w:val="0"/>
      <w:marTop w:val="0"/>
      <w:marBottom w:val="0"/>
      <w:divBdr>
        <w:top w:val="none" w:sz="0" w:space="0" w:color="auto"/>
        <w:left w:val="none" w:sz="0" w:space="0" w:color="auto"/>
        <w:bottom w:val="none" w:sz="0" w:space="0" w:color="auto"/>
        <w:right w:val="none" w:sz="0" w:space="0" w:color="auto"/>
      </w:divBdr>
    </w:div>
    <w:div w:id="2123377781">
      <w:bodyDiv w:val="1"/>
      <w:marLeft w:val="0"/>
      <w:marRight w:val="0"/>
      <w:marTop w:val="0"/>
      <w:marBottom w:val="0"/>
      <w:divBdr>
        <w:top w:val="none" w:sz="0" w:space="0" w:color="auto"/>
        <w:left w:val="none" w:sz="0" w:space="0" w:color="auto"/>
        <w:bottom w:val="none" w:sz="0" w:space="0" w:color="auto"/>
        <w:right w:val="none" w:sz="0" w:space="0" w:color="auto"/>
      </w:divBdr>
    </w:div>
    <w:div w:id="2138791701">
      <w:bodyDiv w:val="1"/>
      <w:marLeft w:val="0"/>
      <w:marRight w:val="0"/>
      <w:marTop w:val="0"/>
      <w:marBottom w:val="0"/>
      <w:divBdr>
        <w:top w:val="none" w:sz="0" w:space="0" w:color="auto"/>
        <w:left w:val="none" w:sz="0" w:space="0" w:color="auto"/>
        <w:bottom w:val="none" w:sz="0" w:space="0" w:color="auto"/>
        <w:right w:val="none" w:sz="0" w:space="0" w:color="auto"/>
      </w:divBdr>
      <w:divsChild>
        <w:div w:id="954557570">
          <w:marLeft w:val="0"/>
          <w:marRight w:val="0"/>
          <w:marTop w:val="0"/>
          <w:marBottom w:val="0"/>
          <w:divBdr>
            <w:top w:val="none" w:sz="0" w:space="0" w:color="auto"/>
            <w:left w:val="none" w:sz="0" w:space="0" w:color="auto"/>
            <w:bottom w:val="none" w:sz="0" w:space="0" w:color="auto"/>
            <w:right w:val="none" w:sz="0" w:space="0" w:color="auto"/>
          </w:divBdr>
          <w:divsChild>
            <w:div w:id="119810553">
              <w:marLeft w:val="0"/>
              <w:marRight w:val="0"/>
              <w:marTop w:val="0"/>
              <w:marBottom w:val="0"/>
              <w:divBdr>
                <w:top w:val="none" w:sz="0" w:space="0" w:color="auto"/>
                <w:left w:val="none" w:sz="0" w:space="0" w:color="auto"/>
                <w:bottom w:val="none" w:sz="0" w:space="0" w:color="auto"/>
                <w:right w:val="none" w:sz="0" w:space="0" w:color="auto"/>
              </w:divBdr>
              <w:divsChild>
                <w:div w:id="778372643">
                  <w:marLeft w:val="0"/>
                  <w:marRight w:val="0"/>
                  <w:marTop w:val="0"/>
                  <w:marBottom w:val="0"/>
                  <w:divBdr>
                    <w:top w:val="none" w:sz="0" w:space="0" w:color="auto"/>
                    <w:left w:val="none" w:sz="0" w:space="0" w:color="auto"/>
                    <w:bottom w:val="none" w:sz="0" w:space="0" w:color="auto"/>
                    <w:right w:val="none" w:sz="0" w:space="0" w:color="auto"/>
                  </w:divBdr>
                  <w:divsChild>
                    <w:div w:id="1861044434">
                      <w:marLeft w:val="0"/>
                      <w:marRight w:val="0"/>
                      <w:marTop w:val="0"/>
                      <w:marBottom w:val="0"/>
                      <w:divBdr>
                        <w:top w:val="none" w:sz="0" w:space="0" w:color="auto"/>
                        <w:left w:val="none" w:sz="0" w:space="0" w:color="auto"/>
                        <w:bottom w:val="none" w:sz="0" w:space="0" w:color="auto"/>
                        <w:right w:val="none" w:sz="0" w:space="0" w:color="auto"/>
                      </w:divBdr>
                      <w:divsChild>
                        <w:div w:id="756362486">
                          <w:marLeft w:val="0"/>
                          <w:marRight w:val="0"/>
                          <w:marTop w:val="0"/>
                          <w:marBottom w:val="0"/>
                          <w:divBdr>
                            <w:top w:val="none" w:sz="0" w:space="0" w:color="auto"/>
                            <w:left w:val="none" w:sz="0" w:space="0" w:color="auto"/>
                            <w:bottom w:val="none" w:sz="0" w:space="0" w:color="auto"/>
                            <w:right w:val="none" w:sz="0" w:space="0" w:color="auto"/>
                          </w:divBdr>
                          <w:divsChild>
                            <w:div w:id="330106021">
                              <w:marLeft w:val="0"/>
                              <w:marRight w:val="0"/>
                              <w:marTop w:val="0"/>
                              <w:marBottom w:val="0"/>
                              <w:divBdr>
                                <w:top w:val="none" w:sz="0" w:space="0" w:color="auto"/>
                                <w:left w:val="none" w:sz="0" w:space="0" w:color="auto"/>
                                <w:bottom w:val="none" w:sz="0" w:space="0" w:color="auto"/>
                                <w:right w:val="none" w:sz="0" w:space="0" w:color="auto"/>
                              </w:divBdr>
                              <w:divsChild>
                                <w:div w:id="465590669">
                                  <w:marLeft w:val="0"/>
                                  <w:marRight w:val="0"/>
                                  <w:marTop w:val="0"/>
                                  <w:marBottom w:val="0"/>
                                  <w:divBdr>
                                    <w:top w:val="none" w:sz="0" w:space="0" w:color="auto"/>
                                    <w:left w:val="none" w:sz="0" w:space="0" w:color="auto"/>
                                    <w:bottom w:val="none" w:sz="0" w:space="0" w:color="auto"/>
                                    <w:right w:val="none" w:sz="0" w:space="0" w:color="auto"/>
                                  </w:divBdr>
                                  <w:divsChild>
                                    <w:div w:id="254171516">
                                      <w:marLeft w:val="0"/>
                                      <w:marRight w:val="0"/>
                                      <w:marTop w:val="0"/>
                                      <w:marBottom w:val="0"/>
                                      <w:divBdr>
                                        <w:top w:val="none" w:sz="0" w:space="0" w:color="auto"/>
                                        <w:left w:val="none" w:sz="0" w:space="0" w:color="auto"/>
                                        <w:bottom w:val="none" w:sz="0" w:space="0" w:color="auto"/>
                                        <w:right w:val="none" w:sz="0" w:space="0" w:color="auto"/>
                                      </w:divBdr>
                                      <w:divsChild>
                                        <w:div w:id="1026978814">
                                          <w:marLeft w:val="0"/>
                                          <w:marRight w:val="0"/>
                                          <w:marTop w:val="0"/>
                                          <w:marBottom w:val="0"/>
                                          <w:divBdr>
                                            <w:top w:val="none" w:sz="0" w:space="0" w:color="auto"/>
                                            <w:left w:val="none" w:sz="0" w:space="0" w:color="auto"/>
                                            <w:bottom w:val="none" w:sz="0" w:space="0" w:color="auto"/>
                                            <w:right w:val="none" w:sz="0" w:space="0" w:color="auto"/>
                                          </w:divBdr>
                                          <w:divsChild>
                                            <w:div w:id="1940672723">
                                              <w:marLeft w:val="0"/>
                                              <w:marRight w:val="0"/>
                                              <w:marTop w:val="0"/>
                                              <w:marBottom w:val="0"/>
                                              <w:divBdr>
                                                <w:top w:val="none" w:sz="0" w:space="0" w:color="auto"/>
                                                <w:left w:val="none" w:sz="0" w:space="0" w:color="auto"/>
                                                <w:bottom w:val="none" w:sz="0" w:space="0" w:color="auto"/>
                                                <w:right w:val="none" w:sz="0" w:space="0" w:color="auto"/>
                                              </w:divBdr>
                                              <w:divsChild>
                                                <w:div w:id="8580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image" Target="media/image1.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file:///\\CorpData02\Env\T&amp;SH\SH&amp;P\AM&amp;P\HA&amp;D\12.%20Asset%20Policy%20Documents\TAMP\TAMP%20-%20Condition%20Data\ABC%20Road%20Network\ABC-Roads%20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orpdata02\env\S&amp;P\Commissioning\Capital%20Programme\2014-15\Asset%20Allocation%20Evidence%20Base\TAMP%20Copies%20for%20Peter\DRAFT-LCC%20TAMP\ABCROADS%20ESTIMATED%20SPLI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orpData02\Env\T&amp;SH\SH&amp;P\AM&amp;P\HA&amp;D\12.%20Asset%20Policy%20Documents\TAMP\TAMP%20-%20Condition%20Data\Structures\Bridges.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orpData02\Env\T&amp;SH\SH&amp;P\AM&amp;P\HA&amp;D\12.%20Asset%20Policy%20Documents\TAMP\TAMP%20-%20Condition%20Data\Street%20Lighting\Street%20Lighting%202014%20to%202018.xlsx"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oleObject" Target="file:///\\CorpData02\Env\T&amp;SH\SH&amp;P\AM&amp;P\HA&amp;D\12.%20Asset%20Policy%20Documents\TAMP\TAMP%20-%20Condition%20Data\Traffic%20Signals\Traffic%20Signals%20Condition%20Data.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orpData02\Env\T&amp;SH\SH&amp;P\AM&amp;P\HA&amp;D\12.%20Asset%20Policy%20Documents\TAMP\TAMP%20-%20Condition%20Data\ABC%20Road%20Network\ABC-Roads%202018.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orpData02\Env\T&amp;SH\SH&amp;P\AM&amp;P\HA&amp;D\12.%20Asset%20Policy%20Documents\TAMP\TAMP%20-%20Condition%20Data\ABC%20Road%20Network\ABC-Roads%202018.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orpData02\Env\T&amp;SH\SH&amp;P\AM&amp;P\HA&amp;D\18.%20TAMP\TAMP%20-%20Condition%20Data\Defect%20Data\2016-17\All_Defects_RC%202016-17%20this%20one.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orpData02\Env\T&amp;SH\SH&amp;P\AM&amp;P\HA&amp;D\18.%20TAMP\TAMP%20-%20Condition%20Data\Defect%20Data\2016-17\All_Defects_RC%202016-17%20this%20one.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CorpData02\Env\T&amp;SH\SH&amp;P\AM&amp;P\HA&amp;D\18.%20TAMP\TAMP%20-%20Condition%20Data\Defect%20Data\2016-17\All_Defects_RC%202016-17%20this%20one.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CorpData02\Env\T&amp;SH\SH&amp;P\AM&amp;P\HA&amp;D\18.%20TAMP\TAMP%20-%20Condition%20Data\Defect%20Data\2015-16\Revised%20data\All_Defects_RC%202015-16%20(Recovered).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CorpData02\Env\T&amp;SH\SH&amp;P\AM&amp;P\HA&amp;D\12.%20Asset%20Policy%20Documents\TAMP\TAMP%20-%20Condition%20Data\Defect%20Data\2016-17\All_Defects_RC%202016-17%20this%20one.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CorpData02\Env\T&amp;SH\SH&amp;P\AM&amp;P\HA&amp;D\12.%20Asset%20Policy%20Documents\TAMP\TAMP%20-%20Condition%20Data\Defect%20Data\2016-17\All_Defects_RC%202016-17%20this%20one.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Actul</a:t>
            </a:r>
            <a:r>
              <a:rPr lang="en-US" baseline="0"/>
              <a:t> </a:t>
            </a:r>
            <a:r>
              <a:rPr lang="en-US"/>
              <a:t>Km Roads RED or AMBER 2009 - 2018 and Trend 2019-2022</a:t>
            </a:r>
          </a:p>
        </c:rich>
      </c:tx>
      <c:overlay val="0"/>
    </c:title>
    <c:autoTitleDeleted val="0"/>
    <c:plotArea>
      <c:layout>
        <c:manualLayout>
          <c:layoutTarget val="inner"/>
          <c:xMode val="edge"/>
          <c:yMode val="edge"/>
          <c:x val="4.614035784043713E-2"/>
          <c:y val="8.9218102896812451E-2"/>
          <c:w val="0.94459820476356893"/>
          <c:h val="0.8297752849386989"/>
        </c:manualLayout>
      </c:layout>
      <c:lineChart>
        <c:grouping val="standard"/>
        <c:varyColors val="0"/>
        <c:ser>
          <c:idx val="9"/>
          <c:order val="0"/>
          <c:tx>
            <c:v>Lancaster Trend</c:v>
          </c:tx>
          <c:spPr>
            <a:ln>
              <a:solidFill>
                <a:schemeClr val="tx1"/>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Graphical'!$AJ$14:$AW$14</c:f>
              <c:numCache>
                <c:formatCode>General</c:formatCode>
                <c:ptCount val="14"/>
                <c:pt idx="10" formatCode="0.00">
                  <c:v>169.39826041333345</c:v>
                </c:pt>
                <c:pt idx="11" formatCode="0.00">
                  <c:v>171.88664643575794</c:v>
                </c:pt>
                <c:pt idx="12" formatCode="0.00">
                  <c:v>174.37503245818152</c:v>
                </c:pt>
                <c:pt idx="13" formatCode="0.00">
                  <c:v>176.86341848060601</c:v>
                </c:pt>
              </c:numCache>
            </c:numRef>
          </c:val>
          <c:smooth val="1"/>
        </c:ser>
        <c:ser>
          <c:idx val="8"/>
          <c:order val="1"/>
          <c:tx>
            <c:v>Lancaster Actual</c:v>
          </c:tx>
          <c:spPr>
            <a:ln>
              <a:solidFill>
                <a:schemeClr val="tx1"/>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Graphical'!$AJ$13:$AW$13</c:f>
              <c:numCache>
                <c:formatCode>0.00</c:formatCode>
                <c:ptCount val="14"/>
                <c:pt idx="0">
                  <c:v>128.445705</c:v>
                </c:pt>
                <c:pt idx="1">
                  <c:v>135.28500700000001</c:v>
                </c:pt>
                <c:pt idx="2">
                  <c:v>136.22573199999999</c:v>
                </c:pt>
                <c:pt idx="3">
                  <c:v>148.44394800000001</c:v>
                </c:pt>
                <c:pt idx="4">
                  <c:v>189.16784000000001</c:v>
                </c:pt>
                <c:pt idx="5">
                  <c:v>214.28272399999997</c:v>
                </c:pt>
                <c:pt idx="6">
                  <c:v>160.6834394</c:v>
                </c:pt>
                <c:pt idx="7">
                  <c:v>139.93665350000001</c:v>
                </c:pt>
                <c:pt idx="8">
                  <c:v>154.32539699999998</c:v>
                </c:pt>
                <c:pt idx="9">
                  <c:v>150.324927</c:v>
                </c:pt>
              </c:numCache>
            </c:numRef>
          </c:val>
          <c:smooth val="1"/>
        </c:ser>
        <c:ser>
          <c:idx val="14"/>
          <c:order val="2"/>
          <c:tx>
            <c:v>Ribble Valley Actual</c:v>
          </c:tx>
          <c:spPr>
            <a:ln>
              <a:solidFill>
                <a:schemeClr val="accent1"/>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Graphical'!$AJ$19:$AW$19</c:f>
              <c:numCache>
                <c:formatCode>0.00</c:formatCode>
                <c:ptCount val="14"/>
                <c:pt idx="0">
                  <c:v>118.569209</c:v>
                </c:pt>
                <c:pt idx="1">
                  <c:v>131.33762099999998</c:v>
                </c:pt>
                <c:pt idx="2">
                  <c:v>139.45877299999998</c:v>
                </c:pt>
                <c:pt idx="3">
                  <c:v>154.50298699999999</c:v>
                </c:pt>
                <c:pt idx="4">
                  <c:v>173.68521899999996</c:v>
                </c:pt>
                <c:pt idx="5">
                  <c:v>180.21344999999999</c:v>
                </c:pt>
                <c:pt idx="6">
                  <c:v>149.3980545</c:v>
                </c:pt>
                <c:pt idx="7">
                  <c:v>137.55703449999999</c:v>
                </c:pt>
                <c:pt idx="8">
                  <c:v>140.61542299999999</c:v>
                </c:pt>
                <c:pt idx="9">
                  <c:v>125.13554499999998</c:v>
                </c:pt>
              </c:numCache>
            </c:numRef>
          </c:val>
          <c:smooth val="1"/>
        </c:ser>
        <c:ser>
          <c:idx val="15"/>
          <c:order val="3"/>
          <c:tx>
            <c:v>Ribble Valley Trend</c:v>
          </c:tx>
          <c:spPr>
            <a:ln>
              <a:solidFill>
                <a:schemeClr val="accent1"/>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Graphical'!$AJ$20:$AW$20</c:f>
              <c:numCache>
                <c:formatCode>General</c:formatCode>
                <c:ptCount val="14"/>
                <c:pt idx="10" formatCode="0.00">
                  <c:v>148.57221090000007</c:v>
                </c:pt>
                <c:pt idx="11" formatCode="0.00">
                  <c:v>149.21309804545467</c:v>
                </c:pt>
                <c:pt idx="12" formatCode="0.00">
                  <c:v>149.85398519090904</c:v>
                </c:pt>
                <c:pt idx="13" formatCode="0.00">
                  <c:v>150.49487233636364</c:v>
                </c:pt>
              </c:numCache>
            </c:numRef>
          </c:val>
          <c:smooth val="1"/>
        </c:ser>
        <c:ser>
          <c:idx val="20"/>
          <c:order val="4"/>
          <c:tx>
            <c:v>West Lancs Actual</c:v>
          </c:tx>
          <c:spPr>
            <a:ln>
              <a:solidFill>
                <a:schemeClr val="accent2"/>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Graphical'!$AJ$25:$AW$25</c:f>
              <c:numCache>
                <c:formatCode>0.00</c:formatCode>
                <c:ptCount val="14"/>
                <c:pt idx="0">
                  <c:v>83.423194999999993</c:v>
                </c:pt>
                <c:pt idx="1">
                  <c:v>86.347132000000002</c:v>
                </c:pt>
                <c:pt idx="2">
                  <c:v>94.212872000000004</c:v>
                </c:pt>
                <c:pt idx="3">
                  <c:v>105.250984</c:v>
                </c:pt>
                <c:pt idx="4">
                  <c:v>145.388327</c:v>
                </c:pt>
                <c:pt idx="5">
                  <c:v>162.565337</c:v>
                </c:pt>
                <c:pt idx="6">
                  <c:v>115.0212279</c:v>
                </c:pt>
                <c:pt idx="7">
                  <c:v>98.965460500000006</c:v>
                </c:pt>
                <c:pt idx="8">
                  <c:v>98.011478000000011</c:v>
                </c:pt>
                <c:pt idx="9">
                  <c:v>92.550520000000006</c:v>
                </c:pt>
              </c:numCache>
            </c:numRef>
          </c:val>
          <c:smooth val="1"/>
        </c:ser>
        <c:ser>
          <c:idx val="21"/>
          <c:order val="5"/>
          <c:tx>
            <c:v>West Lancs Trend</c:v>
          </c:tx>
          <c:spPr>
            <a:ln>
              <a:solidFill>
                <a:schemeClr val="accent2"/>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Graphical'!$AJ$26:$AW$26</c:f>
              <c:numCache>
                <c:formatCode>General</c:formatCode>
                <c:ptCount val="14"/>
                <c:pt idx="10" formatCode="0.00">
                  <c:v>115.97522104666677</c:v>
                </c:pt>
                <c:pt idx="11" formatCode="0.00">
                  <c:v>117.39368790242406</c:v>
                </c:pt>
                <c:pt idx="12" formatCode="0.00">
                  <c:v>118.8121547581818</c:v>
                </c:pt>
                <c:pt idx="13" formatCode="0.00">
                  <c:v>120.23062161393909</c:v>
                </c:pt>
              </c:numCache>
            </c:numRef>
          </c:val>
          <c:smooth val="1"/>
        </c:ser>
        <c:ser>
          <c:idx val="22"/>
          <c:order val="6"/>
          <c:tx>
            <c:v>Wyre Actual</c:v>
          </c:tx>
          <c:spPr>
            <a:ln>
              <a:solidFill>
                <a:schemeClr val="accent3"/>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Graphical'!$AJ$27:$AW$27</c:f>
              <c:numCache>
                <c:formatCode>0.00</c:formatCode>
                <c:ptCount val="14"/>
                <c:pt idx="0">
                  <c:v>79.092300999999992</c:v>
                </c:pt>
                <c:pt idx="1">
                  <c:v>81.167719000000005</c:v>
                </c:pt>
                <c:pt idx="2">
                  <c:v>80.518788999999998</c:v>
                </c:pt>
                <c:pt idx="3">
                  <c:v>89.217506</c:v>
                </c:pt>
                <c:pt idx="4">
                  <c:v>116.78088100000001</c:v>
                </c:pt>
                <c:pt idx="5">
                  <c:v>139.80315999999999</c:v>
                </c:pt>
                <c:pt idx="6">
                  <c:v>109.55388129999999</c:v>
                </c:pt>
                <c:pt idx="7">
                  <c:v>81.5118978</c:v>
                </c:pt>
                <c:pt idx="8">
                  <c:v>91.052031999999997</c:v>
                </c:pt>
                <c:pt idx="9">
                  <c:v>88.637368999999993</c:v>
                </c:pt>
              </c:numCache>
            </c:numRef>
          </c:val>
          <c:smooth val="1"/>
        </c:ser>
        <c:ser>
          <c:idx val="23"/>
          <c:order val="7"/>
          <c:tx>
            <c:v>Wyre Trend</c:v>
          </c:tx>
          <c:spPr>
            <a:ln>
              <a:solidFill>
                <a:schemeClr val="accent3"/>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Graphical'!$AJ$28:$AW$28</c:f>
              <c:numCache>
                <c:formatCode>General</c:formatCode>
                <c:ptCount val="14"/>
                <c:pt idx="10" formatCode="0.00">
                  <c:v>103.86997867333321</c:v>
                </c:pt>
                <c:pt idx="11" formatCode="0.00">
                  <c:v>105.34932868484839</c:v>
                </c:pt>
                <c:pt idx="12" formatCode="0.00">
                  <c:v>106.82867869636357</c:v>
                </c:pt>
                <c:pt idx="13" formatCode="0.00">
                  <c:v>108.30802870787875</c:v>
                </c:pt>
              </c:numCache>
            </c:numRef>
          </c:val>
          <c:smooth val="1"/>
        </c:ser>
        <c:ser>
          <c:idx val="25"/>
          <c:order val="8"/>
          <c:tx>
            <c:v>Average Actual</c:v>
          </c:tx>
          <c:spPr>
            <a:ln>
              <a:solidFill>
                <a:srgbClr val="040AFC"/>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Graphical'!$AJ$30:$AW$30</c:f>
              <c:numCache>
                <c:formatCode>0.00</c:formatCode>
                <c:ptCount val="14"/>
                <c:pt idx="0">
                  <c:v>57.454529666666673</c:v>
                </c:pt>
                <c:pt idx="1">
                  <c:v>60.586690000000011</c:v>
                </c:pt>
                <c:pt idx="2">
                  <c:v>63.657470499999988</c:v>
                </c:pt>
                <c:pt idx="3">
                  <c:v>69.334589083333327</c:v>
                </c:pt>
                <c:pt idx="4">
                  <c:v>88.27284933333334</c:v>
                </c:pt>
                <c:pt idx="5">
                  <c:v>98.26367841666665</c:v>
                </c:pt>
                <c:pt idx="6">
                  <c:v>76.608891091666649</c:v>
                </c:pt>
                <c:pt idx="7">
                  <c:v>63.367955725000002</c:v>
                </c:pt>
                <c:pt idx="8">
                  <c:v>66.834221999999997</c:v>
                </c:pt>
                <c:pt idx="9">
                  <c:v>63.519678583333352</c:v>
                </c:pt>
              </c:numCache>
            </c:numRef>
          </c:val>
          <c:smooth val="1"/>
        </c:ser>
        <c:ser>
          <c:idx val="26"/>
          <c:order val="9"/>
          <c:tx>
            <c:v>Average Trend</c:v>
          </c:tx>
          <c:spPr>
            <a:ln>
              <a:solidFill>
                <a:srgbClr val="040AFC"/>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Graphical'!$AJ$31:$AW$31</c:f>
              <c:numCache>
                <c:formatCode>General</c:formatCode>
                <c:ptCount val="14"/>
                <c:pt idx="10" formatCode="0.00">
                  <c:v>75.079562956111204</c:v>
                </c:pt>
                <c:pt idx="11" formatCode="0.00">
                  <c:v>75.859473413585874</c:v>
                </c:pt>
                <c:pt idx="12" formatCode="0.00">
                  <c:v>76.639383871060772</c:v>
                </c:pt>
                <c:pt idx="13" formatCode="0.00">
                  <c:v>77.419294328535443</c:v>
                </c:pt>
              </c:numCache>
            </c:numRef>
          </c:val>
          <c:smooth val="1"/>
        </c:ser>
        <c:ser>
          <c:idx val="2"/>
          <c:order val="10"/>
          <c:tx>
            <c:v>Chorley Actual</c:v>
          </c:tx>
          <c:spPr>
            <a:ln>
              <a:solidFill>
                <a:schemeClr val="accent6"/>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Graphical'!$AJ$7:$AW$7</c:f>
              <c:numCache>
                <c:formatCode>0.00</c:formatCode>
                <c:ptCount val="14"/>
                <c:pt idx="0">
                  <c:v>53.958556000000002</c:v>
                </c:pt>
                <c:pt idx="1">
                  <c:v>55.027715000000001</c:v>
                </c:pt>
                <c:pt idx="2">
                  <c:v>58.404657000000007</c:v>
                </c:pt>
                <c:pt idx="3">
                  <c:v>58.648823000000007</c:v>
                </c:pt>
                <c:pt idx="4">
                  <c:v>95.285589000000016</c:v>
                </c:pt>
                <c:pt idx="5">
                  <c:v>106.384783</c:v>
                </c:pt>
                <c:pt idx="6">
                  <c:v>72.5144023</c:v>
                </c:pt>
                <c:pt idx="7">
                  <c:v>56.138536200000004</c:v>
                </c:pt>
                <c:pt idx="8">
                  <c:v>61.788929000000003</c:v>
                </c:pt>
                <c:pt idx="9">
                  <c:v>60.836761000000003</c:v>
                </c:pt>
              </c:numCache>
            </c:numRef>
          </c:val>
          <c:smooth val="1"/>
        </c:ser>
        <c:ser>
          <c:idx val="3"/>
          <c:order val="11"/>
          <c:tx>
            <c:v>Chorley Trend</c:v>
          </c:tx>
          <c:spPr>
            <a:ln>
              <a:solidFill>
                <a:schemeClr val="accent6"/>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Graphical'!$AJ$8:$AW$8</c:f>
              <c:numCache>
                <c:formatCode>General</c:formatCode>
                <c:ptCount val="14"/>
                <c:pt idx="10" formatCode="0.00">
                  <c:v>72.918797513333629</c:v>
                </c:pt>
                <c:pt idx="11" formatCode="0.00">
                  <c:v>73.83151067030326</c:v>
                </c:pt>
                <c:pt idx="12" formatCode="0.00">
                  <c:v>74.74422382727289</c:v>
                </c:pt>
                <c:pt idx="13" formatCode="0.00">
                  <c:v>75.65693698424252</c:v>
                </c:pt>
              </c:numCache>
            </c:numRef>
          </c:val>
          <c:smooth val="1"/>
        </c:ser>
        <c:ser>
          <c:idx val="12"/>
          <c:order val="12"/>
          <c:tx>
            <c:v>Preston Actual</c:v>
          </c:tx>
          <c:spPr>
            <a:ln>
              <a:solidFill>
                <a:srgbClr val="FF0066"/>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Graphical'!$AJ$17:$AW$17</c:f>
              <c:numCache>
                <c:formatCode>0.00</c:formatCode>
                <c:ptCount val="14"/>
                <c:pt idx="0">
                  <c:v>46.084898000000003</c:v>
                </c:pt>
                <c:pt idx="1">
                  <c:v>50.238518999999997</c:v>
                </c:pt>
                <c:pt idx="2">
                  <c:v>57.649270999999999</c:v>
                </c:pt>
                <c:pt idx="3">
                  <c:v>60.882168</c:v>
                </c:pt>
                <c:pt idx="4">
                  <c:v>78.402876000000006</c:v>
                </c:pt>
                <c:pt idx="5">
                  <c:v>85.689993000000001</c:v>
                </c:pt>
                <c:pt idx="6">
                  <c:v>65.064676399999996</c:v>
                </c:pt>
                <c:pt idx="7">
                  <c:v>51.696400500000003</c:v>
                </c:pt>
                <c:pt idx="8">
                  <c:v>57.601548000000001</c:v>
                </c:pt>
                <c:pt idx="9">
                  <c:v>57.08182</c:v>
                </c:pt>
              </c:numCache>
            </c:numRef>
          </c:val>
          <c:smooth val="1"/>
        </c:ser>
        <c:ser>
          <c:idx val="13"/>
          <c:order val="13"/>
          <c:tx>
            <c:v>Preston Trend</c:v>
          </c:tx>
          <c:spPr>
            <a:ln>
              <a:solidFill>
                <a:srgbClr val="CC6600"/>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Graphical'!$AJ$18:$AW$18</c:f>
              <c:numCache>
                <c:formatCode>General</c:formatCode>
                <c:ptCount val="14"/>
                <c:pt idx="10" formatCode="0.00">
                  <c:v>65.725343346666705</c:v>
                </c:pt>
                <c:pt idx="11" formatCode="0.00">
                  <c:v>66.577366320606188</c:v>
                </c:pt>
                <c:pt idx="12" formatCode="0.00">
                  <c:v>67.429389294545672</c:v>
                </c:pt>
                <c:pt idx="13" formatCode="0.00">
                  <c:v>68.281412268484928</c:v>
                </c:pt>
              </c:numCache>
            </c:numRef>
          </c:val>
          <c:smooth val="1"/>
        </c:ser>
        <c:ser>
          <c:idx val="4"/>
          <c:order val="14"/>
          <c:tx>
            <c:v>Fylde Actual</c:v>
          </c:tx>
          <c:spPr>
            <a:ln>
              <a:solidFill>
                <a:schemeClr val="accent6">
                  <a:lumMod val="50000"/>
                </a:schemeClr>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Graphical'!$AJ$9:$AW$9</c:f>
              <c:numCache>
                <c:formatCode>0.00</c:formatCode>
                <c:ptCount val="14"/>
                <c:pt idx="0">
                  <c:v>41.287015000000011</c:v>
                </c:pt>
                <c:pt idx="1">
                  <c:v>41.342312</c:v>
                </c:pt>
                <c:pt idx="2">
                  <c:v>41.970625999999996</c:v>
                </c:pt>
                <c:pt idx="3">
                  <c:v>47.531814999999995</c:v>
                </c:pt>
                <c:pt idx="4">
                  <c:v>67.58767499999999</c:v>
                </c:pt>
                <c:pt idx="5">
                  <c:v>71.356134999999995</c:v>
                </c:pt>
                <c:pt idx="6">
                  <c:v>55.459793500000004</c:v>
                </c:pt>
                <c:pt idx="7">
                  <c:v>41.930480299999999</c:v>
                </c:pt>
                <c:pt idx="8">
                  <c:v>46.623128999999999</c:v>
                </c:pt>
                <c:pt idx="9">
                  <c:v>47.326093999999998</c:v>
                </c:pt>
              </c:numCache>
            </c:numRef>
          </c:val>
          <c:smooth val="1"/>
        </c:ser>
        <c:ser>
          <c:idx val="5"/>
          <c:order val="15"/>
          <c:tx>
            <c:v>Fylde Trend</c:v>
          </c:tx>
          <c:spPr>
            <a:ln>
              <a:solidFill>
                <a:schemeClr val="accent6">
                  <a:lumMod val="50000"/>
                </a:schemeClr>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Graphical'!$AJ$10:$AW$10</c:f>
              <c:numCache>
                <c:formatCode>General</c:formatCode>
                <c:ptCount val="14"/>
                <c:pt idx="10" formatCode="0.00">
                  <c:v>54.197144046666835</c:v>
                </c:pt>
                <c:pt idx="11" formatCode="0.00">
                  <c:v>54.91635069515155</c:v>
                </c:pt>
                <c:pt idx="12" formatCode="0.00">
                  <c:v>55.635557343636492</c:v>
                </c:pt>
                <c:pt idx="13" formatCode="0.00">
                  <c:v>56.354763992121434</c:v>
                </c:pt>
              </c:numCache>
            </c:numRef>
          </c:val>
          <c:smooth val="0"/>
        </c:ser>
        <c:ser>
          <c:idx val="10"/>
          <c:order val="16"/>
          <c:tx>
            <c:v>Pendle Actual</c:v>
          </c:tx>
          <c:spPr>
            <a:ln>
              <a:solidFill>
                <a:srgbClr val="00FF00"/>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Graphical'!$AJ$15:$AW$15</c:f>
              <c:numCache>
                <c:formatCode>0.00</c:formatCode>
                <c:ptCount val="14"/>
                <c:pt idx="0">
                  <c:v>38.903645999999995</c:v>
                </c:pt>
                <c:pt idx="1">
                  <c:v>41.399222999999999</c:v>
                </c:pt>
                <c:pt idx="2">
                  <c:v>46.222461999999993</c:v>
                </c:pt>
                <c:pt idx="3">
                  <c:v>52.744162999999993</c:v>
                </c:pt>
                <c:pt idx="4">
                  <c:v>55.905370999999995</c:v>
                </c:pt>
                <c:pt idx="5">
                  <c:v>55.327674999999992</c:v>
                </c:pt>
                <c:pt idx="6">
                  <c:v>52.276755999999999</c:v>
                </c:pt>
                <c:pt idx="7">
                  <c:v>45.906410799999996</c:v>
                </c:pt>
                <c:pt idx="8">
                  <c:v>46.151543000000004</c:v>
                </c:pt>
                <c:pt idx="9">
                  <c:v>42.054927999999997</c:v>
                </c:pt>
              </c:numCache>
            </c:numRef>
          </c:val>
          <c:smooth val="1"/>
        </c:ser>
        <c:ser>
          <c:idx val="11"/>
          <c:order val="17"/>
          <c:tx>
            <c:v>Pendle Trend</c:v>
          </c:tx>
          <c:spPr>
            <a:ln>
              <a:solidFill>
                <a:srgbClr val="00FF00"/>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Graphical'!$AJ$16:$AW$16</c:f>
              <c:numCache>
                <c:formatCode>General</c:formatCode>
                <c:ptCount val="14"/>
                <c:pt idx="10" formatCode="0.00">
                  <c:v>49.624804613333481</c:v>
                </c:pt>
                <c:pt idx="11" formatCode="0.00">
                  <c:v>49.976729492121308</c:v>
                </c:pt>
                <c:pt idx="12" formatCode="0.00">
                  <c:v>50.328654370909135</c:v>
                </c:pt>
                <c:pt idx="13" formatCode="0.00">
                  <c:v>50.680579249697075</c:v>
                </c:pt>
              </c:numCache>
            </c:numRef>
          </c:val>
          <c:smooth val="1"/>
        </c:ser>
        <c:ser>
          <c:idx val="18"/>
          <c:order val="18"/>
          <c:tx>
            <c:v>South Ribble Actual</c:v>
          </c:tx>
          <c:spPr>
            <a:ln>
              <a:solidFill>
                <a:srgbClr val="00CCFF"/>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Graphical'!$AJ$23:$AW$23</c:f>
              <c:numCache>
                <c:formatCode>0.00</c:formatCode>
                <c:ptCount val="14"/>
                <c:pt idx="0">
                  <c:v>32.939852000000002</c:v>
                </c:pt>
                <c:pt idx="1">
                  <c:v>32.756064000000002</c:v>
                </c:pt>
                <c:pt idx="2">
                  <c:v>33.512339999999995</c:v>
                </c:pt>
                <c:pt idx="3">
                  <c:v>35.007086000000001</c:v>
                </c:pt>
                <c:pt idx="4">
                  <c:v>54.879519999999999</c:v>
                </c:pt>
                <c:pt idx="5">
                  <c:v>65.146843000000004</c:v>
                </c:pt>
                <c:pt idx="6">
                  <c:v>45.620388900000002</c:v>
                </c:pt>
                <c:pt idx="7">
                  <c:v>34.158798099999998</c:v>
                </c:pt>
                <c:pt idx="8">
                  <c:v>37.090049</c:v>
                </c:pt>
                <c:pt idx="9">
                  <c:v>35.854313000000005</c:v>
                </c:pt>
              </c:numCache>
            </c:numRef>
          </c:val>
          <c:smooth val="1"/>
        </c:ser>
        <c:ser>
          <c:idx val="19"/>
          <c:order val="19"/>
          <c:tx>
            <c:v>South Ribble Trend</c:v>
          </c:tx>
          <c:spPr>
            <a:ln>
              <a:solidFill>
                <a:srgbClr val="00CCFF"/>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Graphical'!$AJ$24:$AW$24</c:f>
              <c:numCache>
                <c:formatCode>General</c:formatCode>
                <c:ptCount val="14"/>
                <c:pt idx="10" formatCode="0.00">
                  <c:v>44.093444273333262</c:v>
                </c:pt>
                <c:pt idx="11" formatCode="0.00">
                  <c:v>44.711065886666574</c:v>
                </c:pt>
                <c:pt idx="12" formatCode="0.00">
                  <c:v>45.328687500000115</c:v>
                </c:pt>
                <c:pt idx="13" formatCode="0.00">
                  <c:v>45.946309113333427</c:v>
                </c:pt>
              </c:numCache>
            </c:numRef>
          </c:val>
          <c:smooth val="1"/>
        </c:ser>
        <c:ser>
          <c:idx val="16"/>
          <c:order val="20"/>
          <c:tx>
            <c:v>Rossendale Actual</c:v>
          </c:tx>
          <c:spPr>
            <a:ln>
              <a:solidFill>
                <a:srgbClr val="CD3B50"/>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Graphical'!$AJ$21:$AW$21</c:f>
              <c:numCache>
                <c:formatCode>0.00</c:formatCode>
                <c:ptCount val="14"/>
                <c:pt idx="0">
                  <c:v>28.407956000000006</c:v>
                </c:pt>
                <c:pt idx="1">
                  <c:v>30.210939</c:v>
                </c:pt>
                <c:pt idx="2">
                  <c:v>30.827686000000003</c:v>
                </c:pt>
                <c:pt idx="3">
                  <c:v>31.271201000000001</c:v>
                </c:pt>
                <c:pt idx="4">
                  <c:v>30.672263999999998</c:v>
                </c:pt>
                <c:pt idx="5">
                  <c:v>36.586393000000001</c:v>
                </c:pt>
                <c:pt idx="6">
                  <c:v>33.551076999999999</c:v>
                </c:pt>
                <c:pt idx="7">
                  <c:v>25.788564000000001</c:v>
                </c:pt>
                <c:pt idx="8">
                  <c:v>22.737758000000003</c:v>
                </c:pt>
                <c:pt idx="9">
                  <c:v>20.605124000000004</c:v>
                </c:pt>
              </c:numCache>
            </c:numRef>
          </c:val>
          <c:smooth val="1"/>
        </c:ser>
        <c:ser>
          <c:idx val="17"/>
          <c:order val="21"/>
          <c:tx>
            <c:v>Rossendale Trend</c:v>
          </c:tx>
          <c:spPr>
            <a:ln>
              <a:solidFill>
                <a:srgbClr val="C00000"/>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Graphical'!$AJ$22:$AW$22</c:f>
              <c:numCache>
                <c:formatCode>General</c:formatCode>
                <c:ptCount val="14"/>
                <c:pt idx="10" formatCode="0.00">
                  <c:v>24.566575933333525</c:v>
                </c:pt>
                <c:pt idx="11" formatCode="0.00">
                  <c:v>23.748517703030302</c:v>
                </c:pt>
                <c:pt idx="12" formatCode="0.00">
                  <c:v>22.930459472727307</c:v>
                </c:pt>
                <c:pt idx="13" formatCode="0.00">
                  <c:v>22.112401242424312</c:v>
                </c:pt>
              </c:numCache>
            </c:numRef>
          </c:val>
          <c:smooth val="1"/>
        </c:ser>
        <c:ser>
          <c:idx val="0"/>
          <c:order val="22"/>
          <c:tx>
            <c:v>Burnley Actual</c:v>
          </c:tx>
          <c:spPr>
            <a:ln>
              <a:solidFill>
                <a:srgbClr val="57556B"/>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Graphical'!$AJ$5:$AW$5</c:f>
              <c:numCache>
                <c:formatCode>0.00</c:formatCode>
                <c:ptCount val="14"/>
                <c:pt idx="0">
                  <c:v>22.183067000000005</c:v>
                </c:pt>
                <c:pt idx="1">
                  <c:v>23.557903</c:v>
                </c:pt>
                <c:pt idx="2">
                  <c:v>25.889916000000003</c:v>
                </c:pt>
                <c:pt idx="3">
                  <c:v>30.269212</c:v>
                </c:pt>
                <c:pt idx="4">
                  <c:v>30.191158999999999</c:v>
                </c:pt>
                <c:pt idx="5">
                  <c:v>31.93561</c:v>
                </c:pt>
                <c:pt idx="6">
                  <c:v>33.078344300000005</c:v>
                </c:pt>
                <c:pt idx="7">
                  <c:v>29.771693500000001</c:v>
                </c:pt>
                <c:pt idx="8">
                  <c:v>30.344951000000005</c:v>
                </c:pt>
                <c:pt idx="9">
                  <c:v>26.463923000000005</c:v>
                </c:pt>
              </c:numCache>
            </c:numRef>
          </c:val>
          <c:smooth val="1"/>
        </c:ser>
        <c:ser>
          <c:idx val="1"/>
          <c:order val="23"/>
          <c:tx>
            <c:v>Burnley Trend</c:v>
          </c:tx>
          <c:spPr>
            <a:ln>
              <a:solidFill>
                <a:srgbClr val="57556B"/>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Graphical'!$AJ$6:$AW$6</c:f>
              <c:numCache>
                <c:formatCode>General</c:formatCode>
                <c:ptCount val="14"/>
                <c:pt idx="10" formatCode="0.00">
                  <c:v>32.222503726666673</c:v>
                </c:pt>
                <c:pt idx="11" formatCode="0.00">
                  <c:v>32.923217516969544</c:v>
                </c:pt>
                <c:pt idx="12" formatCode="0.00">
                  <c:v>33.623931307272642</c:v>
                </c:pt>
                <c:pt idx="13" formatCode="0.00">
                  <c:v>34.32464509757574</c:v>
                </c:pt>
              </c:numCache>
            </c:numRef>
          </c:val>
          <c:smooth val="1"/>
        </c:ser>
        <c:ser>
          <c:idx val="6"/>
          <c:order val="24"/>
          <c:tx>
            <c:v>Hyndburn Actual</c:v>
          </c:tx>
          <c:spPr>
            <a:ln>
              <a:solidFill>
                <a:srgbClr val="FFC000"/>
              </a:solidFill>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Graphical'!$AJ$11:$AW$11</c:f>
              <c:numCache>
                <c:formatCode>0.00</c:formatCode>
                <c:ptCount val="14"/>
                <c:pt idx="0">
                  <c:v>16.158955999999996</c:v>
                </c:pt>
                <c:pt idx="1">
                  <c:v>18.370125999999999</c:v>
                </c:pt>
                <c:pt idx="2">
                  <c:v>18.996521999999999</c:v>
                </c:pt>
                <c:pt idx="3">
                  <c:v>18.245176000000001</c:v>
                </c:pt>
                <c:pt idx="4">
                  <c:v>21.327470999999999</c:v>
                </c:pt>
                <c:pt idx="5">
                  <c:v>29.872038</c:v>
                </c:pt>
                <c:pt idx="6">
                  <c:v>27.084651599999997</c:v>
                </c:pt>
                <c:pt idx="7">
                  <c:v>17.053539000000001</c:v>
                </c:pt>
                <c:pt idx="8">
                  <c:v>15.668426999999999</c:v>
                </c:pt>
                <c:pt idx="9">
                  <c:v>15.364818999999999</c:v>
                </c:pt>
              </c:numCache>
            </c:numRef>
          </c:val>
          <c:smooth val="1"/>
        </c:ser>
        <c:ser>
          <c:idx val="7"/>
          <c:order val="25"/>
          <c:tx>
            <c:v>Hyndburn trend</c:v>
          </c:tx>
          <c:spPr>
            <a:ln>
              <a:solidFill>
                <a:srgbClr val="FFC000"/>
              </a:solidFill>
              <a:prstDash val="dash"/>
            </a:ln>
          </c:spPr>
          <c:marker>
            <c:symbol val="none"/>
          </c:marker>
          <c:cat>
            <c:numRef>
              <c:f>'ABC Graphical'!$AJ$4:$AW$4</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'ABC Graphical'!$AJ$12:$AW$12</c:f>
              <c:numCache>
                <c:formatCode>General</c:formatCode>
                <c:ptCount val="14"/>
                <c:pt idx="10" formatCode="0.00">
                  <c:v>19.790470986666669</c:v>
                </c:pt>
                <c:pt idx="11" formatCode="0.00">
                  <c:v>19.786161609696975</c:v>
                </c:pt>
                <c:pt idx="12" formatCode="0.00">
                  <c:v>19.781852232727278</c:v>
                </c:pt>
                <c:pt idx="13" formatCode="0.00">
                  <c:v>19.777542855757581</c:v>
                </c:pt>
              </c:numCache>
            </c:numRef>
          </c:val>
          <c:smooth val="1"/>
        </c:ser>
        <c:dLbls>
          <c:showLegendKey val="0"/>
          <c:showVal val="0"/>
          <c:showCatName val="0"/>
          <c:showSerName val="0"/>
          <c:showPercent val="0"/>
          <c:showBubbleSize val="0"/>
        </c:dLbls>
        <c:smooth val="0"/>
        <c:axId val="571937184"/>
        <c:axId val="571939928"/>
      </c:lineChart>
      <c:catAx>
        <c:axId val="571937184"/>
        <c:scaling>
          <c:orientation val="minMax"/>
        </c:scaling>
        <c:delete val="0"/>
        <c:axPos val="b"/>
        <c:numFmt formatCode="General" sourceLinked="1"/>
        <c:majorTickMark val="none"/>
        <c:minorTickMark val="none"/>
        <c:tickLblPos val="nextTo"/>
        <c:crossAx val="571939928"/>
        <c:crosses val="autoZero"/>
        <c:auto val="1"/>
        <c:lblAlgn val="ctr"/>
        <c:lblOffset val="100"/>
        <c:noMultiLvlLbl val="0"/>
      </c:catAx>
      <c:valAx>
        <c:axId val="571939928"/>
        <c:scaling>
          <c:orientation val="minMax"/>
          <c:max val="250"/>
          <c:min val="10"/>
        </c:scaling>
        <c:delete val="0"/>
        <c:axPos val="l"/>
        <c:majorGridlines/>
        <c:title>
          <c:tx>
            <c:rich>
              <a:bodyPr/>
              <a:lstStyle/>
              <a:p>
                <a:pPr>
                  <a:defRPr/>
                </a:pPr>
                <a:r>
                  <a:rPr lang="en-US"/>
                  <a:t>KM</a:t>
                </a:r>
              </a:p>
            </c:rich>
          </c:tx>
          <c:overlay val="0"/>
        </c:title>
        <c:numFmt formatCode="0" sourceLinked="0"/>
        <c:majorTickMark val="none"/>
        <c:minorTickMark val="none"/>
        <c:tickLblPos val="nextTo"/>
        <c:crossAx val="571937184"/>
        <c:crosses val="autoZero"/>
        <c:crossBetween val="between"/>
      </c:valAx>
      <c:spPr>
        <a:ln>
          <a:solidFill>
            <a:schemeClr val="tx1"/>
          </a:solidFill>
        </a:ln>
      </c:spPr>
    </c:plotArea>
    <c:legend>
      <c:legendPos val="r"/>
      <c:layout>
        <c:manualLayout>
          <c:xMode val="edge"/>
          <c:yMode val="edge"/>
          <c:x val="5.2991969290530856E-2"/>
          <c:y val="0.11203563176442242"/>
          <c:w val="0.19022114487814643"/>
          <c:h val="0.30129161517945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GB" sz="1200" b="1" i="0" baseline="0"/>
              <a:t>Average Bridge Conditon Index by District 2014</a:t>
            </a:r>
            <a:endParaRPr lang="en-GB" sz="1200"/>
          </a:p>
        </c:rich>
      </c:tx>
      <c:layout>
        <c:manualLayout>
          <c:xMode val="edge"/>
          <c:yMode val="edge"/>
          <c:x val="0.1357701026994082"/>
          <c:y val="1.9323671497584852E-2"/>
        </c:manualLayout>
      </c:layout>
      <c:overlay val="0"/>
    </c:title>
    <c:autoTitleDeleted val="0"/>
    <c:plotArea>
      <c:layout>
        <c:manualLayout>
          <c:layoutTarget val="inner"/>
          <c:xMode val="edge"/>
          <c:yMode val="edge"/>
          <c:x val="0.10692645680930682"/>
          <c:y val="0.12890808468020445"/>
          <c:w val="0.85424911686482652"/>
          <c:h val="0.55040708316065756"/>
        </c:manualLayout>
      </c:layout>
      <c:barChart>
        <c:barDir val="col"/>
        <c:grouping val="stacked"/>
        <c:varyColors val="0"/>
        <c:ser>
          <c:idx val="0"/>
          <c:order val="0"/>
          <c:tx>
            <c:v>&lt;40 POOR</c:v>
          </c:tx>
          <c:spPr>
            <a:solidFill>
              <a:srgbClr val="FF0000"/>
            </a:solidFill>
            <a:ln>
              <a:solidFill>
                <a:prstClr val="black">
                  <a:alpha val="99000"/>
                </a:prstClr>
              </a:solidFill>
            </a:ln>
          </c:spPr>
          <c:invertIfNegative val="0"/>
          <c:cat>
            <c:strRef>
              <c:f>'Bridge condition Data'!$B$6:$B$17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'Bridge condition Data'!$C$6:$C$17</c:f>
              <c:numCache>
                <c:formatCode>General</c:formatCode>
                <c:ptCount val="12"/>
                <c:pt idx="0">
                  <c:v>10</c:v>
                </c:pt>
                <c:pt idx="1">
                  <c:v>3</c:v>
                </c:pt>
                <c:pt idx="2">
                  <c:v>2</c:v>
                </c:pt>
                <c:pt idx="3">
                  <c:v>5</c:v>
                </c:pt>
                <c:pt idx="4">
                  <c:v>9</c:v>
                </c:pt>
                <c:pt idx="5">
                  <c:v>5</c:v>
                </c:pt>
                <c:pt idx="6">
                  <c:v>5</c:v>
                </c:pt>
                <c:pt idx="7">
                  <c:v>14</c:v>
                </c:pt>
                <c:pt idx="8">
                  <c:v>7</c:v>
                </c:pt>
                <c:pt idx="9">
                  <c:v>5</c:v>
                </c:pt>
                <c:pt idx="10">
                  <c:v>6</c:v>
                </c:pt>
                <c:pt idx="11">
                  <c:v>5</c:v>
                </c:pt>
              </c:numCache>
            </c:numRef>
          </c:val>
        </c:ser>
        <c:ser>
          <c:idx val="1"/>
          <c:order val="1"/>
          <c:tx>
            <c:v>40 - 65 ACCEPTABLE</c:v>
          </c:tx>
          <c:spPr>
            <a:solidFill>
              <a:srgbClr val="FFC000"/>
            </a:solidFill>
            <a:ln>
              <a:solidFill>
                <a:prstClr val="black">
                  <a:alpha val="99000"/>
                </a:prstClr>
              </a:solidFill>
            </a:ln>
          </c:spPr>
          <c:invertIfNegative val="0"/>
          <c:cat>
            <c:strRef>
              <c:f>'Bridge condition Data'!$B$6:$B$17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'Bridge condition Data'!$D$6:$D$17</c:f>
              <c:numCache>
                <c:formatCode>General</c:formatCode>
                <c:ptCount val="12"/>
                <c:pt idx="0">
                  <c:v>16</c:v>
                </c:pt>
                <c:pt idx="1">
                  <c:v>11</c:v>
                </c:pt>
                <c:pt idx="2">
                  <c:v>8</c:v>
                </c:pt>
                <c:pt idx="3">
                  <c:v>11</c:v>
                </c:pt>
                <c:pt idx="4">
                  <c:v>53</c:v>
                </c:pt>
                <c:pt idx="5">
                  <c:v>12</c:v>
                </c:pt>
                <c:pt idx="6">
                  <c:v>23</c:v>
                </c:pt>
                <c:pt idx="7">
                  <c:v>45</c:v>
                </c:pt>
                <c:pt idx="8">
                  <c:v>15</c:v>
                </c:pt>
                <c:pt idx="9">
                  <c:v>19</c:v>
                </c:pt>
                <c:pt idx="10">
                  <c:v>57</c:v>
                </c:pt>
                <c:pt idx="11">
                  <c:v>18</c:v>
                </c:pt>
              </c:numCache>
            </c:numRef>
          </c:val>
        </c:ser>
        <c:ser>
          <c:idx val="2"/>
          <c:order val="2"/>
          <c:tx>
            <c:v>65 - 80 FAIR</c:v>
          </c:tx>
          <c:spPr>
            <a:solidFill>
              <a:srgbClr val="FFFF00"/>
            </a:solidFill>
            <a:ln>
              <a:solidFill>
                <a:prstClr val="black">
                  <a:alpha val="99000"/>
                </a:prstClr>
              </a:solidFill>
            </a:ln>
          </c:spPr>
          <c:invertIfNegative val="0"/>
          <c:cat>
            <c:strRef>
              <c:f>'Bridge condition Data'!$B$6:$B$17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'Bridge condition Data'!$E$6:$E$17</c:f>
              <c:numCache>
                <c:formatCode>General</c:formatCode>
                <c:ptCount val="12"/>
                <c:pt idx="0">
                  <c:v>10</c:v>
                </c:pt>
                <c:pt idx="1">
                  <c:v>6</c:v>
                </c:pt>
                <c:pt idx="2">
                  <c:v>8</c:v>
                </c:pt>
                <c:pt idx="3">
                  <c:v>6</c:v>
                </c:pt>
                <c:pt idx="4">
                  <c:v>34</c:v>
                </c:pt>
                <c:pt idx="5">
                  <c:v>7</c:v>
                </c:pt>
                <c:pt idx="6">
                  <c:v>14</c:v>
                </c:pt>
                <c:pt idx="7">
                  <c:v>23</c:v>
                </c:pt>
                <c:pt idx="8">
                  <c:v>22</c:v>
                </c:pt>
                <c:pt idx="9">
                  <c:v>9</c:v>
                </c:pt>
                <c:pt idx="10">
                  <c:v>20</c:v>
                </c:pt>
                <c:pt idx="11">
                  <c:v>17</c:v>
                </c:pt>
              </c:numCache>
            </c:numRef>
          </c:val>
        </c:ser>
        <c:ser>
          <c:idx val="3"/>
          <c:order val="3"/>
          <c:tx>
            <c:v>80 - 90 GOOD</c:v>
          </c:tx>
          <c:spPr>
            <a:solidFill>
              <a:schemeClr val="accent3">
                <a:lumMod val="40000"/>
                <a:lumOff val="60000"/>
              </a:schemeClr>
            </a:solidFill>
            <a:ln>
              <a:solidFill>
                <a:prstClr val="black">
                  <a:alpha val="99000"/>
                </a:prstClr>
              </a:solidFill>
            </a:ln>
          </c:spPr>
          <c:invertIfNegative val="0"/>
          <c:cat>
            <c:strRef>
              <c:f>'Bridge condition Data'!$B$6:$B$17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'Bridge condition Data'!$F$6:$F$17</c:f>
              <c:numCache>
                <c:formatCode>General</c:formatCode>
                <c:ptCount val="12"/>
                <c:pt idx="0">
                  <c:v>27</c:v>
                </c:pt>
                <c:pt idx="1">
                  <c:v>14</c:v>
                </c:pt>
                <c:pt idx="2">
                  <c:v>3</c:v>
                </c:pt>
                <c:pt idx="3">
                  <c:v>9</c:v>
                </c:pt>
                <c:pt idx="4">
                  <c:v>38</c:v>
                </c:pt>
                <c:pt idx="5">
                  <c:v>34</c:v>
                </c:pt>
                <c:pt idx="6">
                  <c:v>16</c:v>
                </c:pt>
                <c:pt idx="7">
                  <c:v>24</c:v>
                </c:pt>
                <c:pt idx="8">
                  <c:v>41</c:v>
                </c:pt>
                <c:pt idx="9">
                  <c:v>19</c:v>
                </c:pt>
                <c:pt idx="10">
                  <c:v>62</c:v>
                </c:pt>
                <c:pt idx="11">
                  <c:v>18</c:v>
                </c:pt>
              </c:numCache>
            </c:numRef>
          </c:val>
        </c:ser>
        <c:ser>
          <c:idx val="4"/>
          <c:order val="4"/>
          <c:tx>
            <c:v>90 - 100 EXCELLENT</c:v>
          </c:tx>
          <c:spPr>
            <a:solidFill>
              <a:srgbClr val="92D050"/>
            </a:solidFill>
            <a:ln>
              <a:solidFill>
                <a:prstClr val="black">
                  <a:alpha val="99000"/>
                </a:prstClr>
              </a:solidFill>
            </a:ln>
          </c:spPr>
          <c:invertIfNegative val="0"/>
          <c:cat>
            <c:strRef>
              <c:f>'Bridge condition Data'!$B$6:$B$17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'Bridge condition Data'!$G$6:$G$17</c:f>
              <c:numCache>
                <c:formatCode>General</c:formatCode>
                <c:ptCount val="12"/>
                <c:pt idx="0">
                  <c:v>53</c:v>
                </c:pt>
                <c:pt idx="1">
                  <c:v>51</c:v>
                </c:pt>
                <c:pt idx="2">
                  <c:v>15</c:v>
                </c:pt>
                <c:pt idx="3">
                  <c:v>35</c:v>
                </c:pt>
                <c:pt idx="4">
                  <c:v>102</c:v>
                </c:pt>
                <c:pt idx="5">
                  <c:v>75</c:v>
                </c:pt>
                <c:pt idx="6">
                  <c:v>33</c:v>
                </c:pt>
                <c:pt idx="7">
                  <c:v>102</c:v>
                </c:pt>
                <c:pt idx="8">
                  <c:v>54</c:v>
                </c:pt>
                <c:pt idx="9">
                  <c:v>31</c:v>
                </c:pt>
                <c:pt idx="10">
                  <c:v>107</c:v>
                </c:pt>
                <c:pt idx="11">
                  <c:v>62</c:v>
                </c:pt>
              </c:numCache>
            </c:numRef>
          </c:val>
        </c:ser>
        <c:dLbls>
          <c:showLegendKey val="0"/>
          <c:showVal val="0"/>
          <c:showCatName val="0"/>
          <c:showSerName val="0"/>
          <c:showPercent val="0"/>
          <c:showBubbleSize val="0"/>
        </c:dLbls>
        <c:gapWidth val="55"/>
        <c:overlap val="100"/>
        <c:axId val="569049768"/>
        <c:axId val="569054864"/>
      </c:barChart>
      <c:catAx>
        <c:axId val="569049768"/>
        <c:scaling>
          <c:orientation val="minMax"/>
        </c:scaling>
        <c:delete val="0"/>
        <c:axPos val="b"/>
        <c:numFmt formatCode="General" sourceLinked="0"/>
        <c:majorTickMark val="none"/>
        <c:minorTickMark val="none"/>
        <c:tickLblPos val="nextTo"/>
        <c:crossAx val="569054864"/>
        <c:crosses val="autoZero"/>
        <c:auto val="1"/>
        <c:lblAlgn val="ctr"/>
        <c:lblOffset val="100"/>
        <c:noMultiLvlLbl val="0"/>
      </c:catAx>
      <c:valAx>
        <c:axId val="569054864"/>
        <c:scaling>
          <c:orientation val="minMax"/>
        </c:scaling>
        <c:delete val="0"/>
        <c:axPos val="l"/>
        <c:majorGridlines/>
        <c:numFmt formatCode="General" sourceLinked="1"/>
        <c:majorTickMark val="none"/>
        <c:minorTickMark val="none"/>
        <c:tickLblPos val="nextTo"/>
        <c:crossAx val="569049768"/>
        <c:crosses val="autoZero"/>
        <c:crossBetween val="between"/>
      </c:valAx>
      <c:spPr>
        <a:ln>
          <a:solidFill>
            <a:prstClr val="black"/>
          </a:solidFill>
        </a:ln>
      </c:spPr>
    </c:plotArea>
    <c:legend>
      <c:legendPos val="r"/>
      <c:layout>
        <c:manualLayout>
          <c:xMode val="edge"/>
          <c:yMode val="edge"/>
          <c:x val="0.1148265446863488"/>
          <c:y val="0.14048858613068105"/>
          <c:w val="0.26858645995192948"/>
          <c:h val="0.23645272137035497"/>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Bridge Condition</a:t>
            </a:r>
            <a:r>
              <a:rPr lang="en-GB" sz="1200" baseline="0"/>
              <a:t> Score </a:t>
            </a:r>
            <a:r>
              <a:rPr lang="en-GB" sz="1200"/>
              <a:t>(by BCI CRIT) by District 2017</a:t>
            </a:r>
          </a:p>
        </c:rich>
      </c:tx>
      <c:layout>
        <c:manualLayout>
          <c:xMode val="edge"/>
          <c:yMode val="edge"/>
          <c:x val="0.13260544512173719"/>
          <c:y val="1.8304748723511701E-2"/>
        </c:manualLayout>
      </c:layout>
      <c:overlay val="0"/>
    </c:title>
    <c:autoTitleDeleted val="0"/>
    <c:plotArea>
      <c:layout>
        <c:manualLayout>
          <c:layoutTarget val="inner"/>
          <c:xMode val="edge"/>
          <c:yMode val="edge"/>
          <c:x val="6.7595596529593432E-2"/>
          <c:y val="0.11677734560288398"/>
          <c:w val="0.88920400049537707"/>
          <c:h val="0.64839167694399646"/>
        </c:manualLayout>
      </c:layout>
      <c:barChart>
        <c:barDir val="col"/>
        <c:grouping val="stacked"/>
        <c:varyColors val="0"/>
        <c:ser>
          <c:idx val="0"/>
          <c:order val="0"/>
          <c:tx>
            <c:v>&lt;40 Poor</c:v>
          </c:tx>
          <c:spPr>
            <a:solidFill>
              <a:srgbClr val="FF0000"/>
            </a:solidFill>
            <a:ln>
              <a:solidFill>
                <a:prstClr val="black">
                  <a:alpha val="99000"/>
                </a:prstClr>
              </a:solidFill>
            </a:ln>
          </c:spPr>
          <c:invertIfNegative val="0"/>
          <c:cat>
            <c:strRef>
              <c:f>'BCI 2018'!$B$6:$B$17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'BCI 2018'!$C$6:$C$17</c:f>
              <c:numCache>
                <c:formatCode>General</c:formatCode>
                <c:ptCount val="12"/>
                <c:pt idx="0">
                  <c:v>5</c:v>
                </c:pt>
                <c:pt idx="1">
                  <c:v>2</c:v>
                </c:pt>
                <c:pt idx="2">
                  <c:v>0</c:v>
                </c:pt>
                <c:pt idx="3">
                  <c:v>5</c:v>
                </c:pt>
                <c:pt idx="4">
                  <c:v>3</c:v>
                </c:pt>
                <c:pt idx="5">
                  <c:v>9</c:v>
                </c:pt>
                <c:pt idx="6">
                  <c:v>6</c:v>
                </c:pt>
                <c:pt idx="7">
                  <c:v>24</c:v>
                </c:pt>
                <c:pt idx="8">
                  <c:v>7</c:v>
                </c:pt>
                <c:pt idx="9">
                  <c:v>2</c:v>
                </c:pt>
                <c:pt idx="10">
                  <c:v>1</c:v>
                </c:pt>
                <c:pt idx="11">
                  <c:v>3</c:v>
                </c:pt>
              </c:numCache>
            </c:numRef>
          </c:val>
        </c:ser>
        <c:ser>
          <c:idx val="1"/>
          <c:order val="1"/>
          <c:tx>
            <c:v>40 - 65 Acceptable</c:v>
          </c:tx>
          <c:spPr>
            <a:solidFill>
              <a:srgbClr val="FFC000"/>
            </a:solidFill>
            <a:ln>
              <a:solidFill>
                <a:prstClr val="black">
                  <a:alpha val="99000"/>
                </a:prstClr>
              </a:solidFill>
            </a:ln>
          </c:spPr>
          <c:invertIfNegative val="0"/>
          <c:cat>
            <c:strRef>
              <c:f>'BCI 2018'!$B$6:$B$17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'BCI 2018'!$D$6:$D$17</c:f>
              <c:numCache>
                <c:formatCode>General</c:formatCode>
                <c:ptCount val="12"/>
                <c:pt idx="0">
                  <c:v>22</c:v>
                </c:pt>
                <c:pt idx="1">
                  <c:v>11</c:v>
                </c:pt>
                <c:pt idx="2">
                  <c:v>9</c:v>
                </c:pt>
                <c:pt idx="3">
                  <c:v>17</c:v>
                </c:pt>
                <c:pt idx="4">
                  <c:v>53</c:v>
                </c:pt>
                <c:pt idx="5">
                  <c:v>17</c:v>
                </c:pt>
                <c:pt idx="6">
                  <c:v>33</c:v>
                </c:pt>
                <c:pt idx="7">
                  <c:v>62</c:v>
                </c:pt>
                <c:pt idx="8">
                  <c:v>26</c:v>
                </c:pt>
                <c:pt idx="9">
                  <c:v>20</c:v>
                </c:pt>
                <c:pt idx="10">
                  <c:v>51</c:v>
                </c:pt>
                <c:pt idx="11">
                  <c:v>19</c:v>
                </c:pt>
              </c:numCache>
            </c:numRef>
          </c:val>
        </c:ser>
        <c:ser>
          <c:idx val="2"/>
          <c:order val="2"/>
          <c:tx>
            <c:v>65 - 80 Fair</c:v>
          </c:tx>
          <c:spPr>
            <a:solidFill>
              <a:srgbClr val="FFFF00"/>
            </a:solidFill>
            <a:ln>
              <a:solidFill>
                <a:prstClr val="black">
                  <a:alpha val="99000"/>
                </a:prstClr>
              </a:solidFill>
            </a:ln>
          </c:spPr>
          <c:invertIfNegative val="0"/>
          <c:cat>
            <c:strRef>
              <c:f>'BCI 2018'!$B$6:$B$17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'BCI 2018'!$E$6:$E$17</c:f>
              <c:numCache>
                <c:formatCode>General</c:formatCode>
                <c:ptCount val="12"/>
                <c:pt idx="0">
                  <c:v>13</c:v>
                </c:pt>
                <c:pt idx="1">
                  <c:v>11</c:v>
                </c:pt>
                <c:pt idx="2">
                  <c:v>8</c:v>
                </c:pt>
                <c:pt idx="3">
                  <c:v>8</c:v>
                </c:pt>
                <c:pt idx="4">
                  <c:v>38</c:v>
                </c:pt>
                <c:pt idx="5">
                  <c:v>10</c:v>
                </c:pt>
                <c:pt idx="6">
                  <c:v>25</c:v>
                </c:pt>
                <c:pt idx="7">
                  <c:v>38</c:v>
                </c:pt>
                <c:pt idx="8">
                  <c:v>25</c:v>
                </c:pt>
                <c:pt idx="9">
                  <c:v>10</c:v>
                </c:pt>
                <c:pt idx="10">
                  <c:v>34</c:v>
                </c:pt>
                <c:pt idx="11">
                  <c:v>13</c:v>
                </c:pt>
              </c:numCache>
            </c:numRef>
          </c:val>
        </c:ser>
        <c:ser>
          <c:idx val="3"/>
          <c:order val="3"/>
          <c:tx>
            <c:v>80 - 90 Good</c:v>
          </c:tx>
          <c:spPr>
            <a:solidFill>
              <a:schemeClr val="accent3">
                <a:lumMod val="40000"/>
                <a:lumOff val="60000"/>
              </a:schemeClr>
            </a:solidFill>
            <a:ln>
              <a:solidFill>
                <a:prstClr val="black">
                  <a:alpha val="99000"/>
                </a:prstClr>
              </a:solidFill>
            </a:ln>
          </c:spPr>
          <c:invertIfNegative val="0"/>
          <c:cat>
            <c:strRef>
              <c:f>'BCI 2018'!$B$6:$B$17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'BCI 2018'!$F$6:$F$17</c:f>
              <c:numCache>
                <c:formatCode>General</c:formatCode>
                <c:ptCount val="12"/>
                <c:pt idx="0">
                  <c:v>31</c:v>
                </c:pt>
                <c:pt idx="1">
                  <c:v>24</c:v>
                </c:pt>
                <c:pt idx="2">
                  <c:v>12</c:v>
                </c:pt>
                <c:pt idx="3">
                  <c:v>19</c:v>
                </c:pt>
                <c:pt idx="4">
                  <c:v>61</c:v>
                </c:pt>
                <c:pt idx="5">
                  <c:v>35</c:v>
                </c:pt>
                <c:pt idx="6">
                  <c:v>30</c:v>
                </c:pt>
                <c:pt idx="7">
                  <c:v>47</c:v>
                </c:pt>
                <c:pt idx="8">
                  <c:v>34</c:v>
                </c:pt>
                <c:pt idx="9">
                  <c:v>27</c:v>
                </c:pt>
                <c:pt idx="10">
                  <c:v>85</c:v>
                </c:pt>
                <c:pt idx="11">
                  <c:v>27</c:v>
                </c:pt>
              </c:numCache>
            </c:numRef>
          </c:val>
        </c:ser>
        <c:ser>
          <c:idx val="4"/>
          <c:order val="4"/>
          <c:tx>
            <c:v>90 - 100 Excellent</c:v>
          </c:tx>
          <c:spPr>
            <a:solidFill>
              <a:srgbClr val="92D050"/>
            </a:solidFill>
            <a:ln>
              <a:solidFill>
                <a:prstClr val="black">
                  <a:alpha val="99000"/>
                </a:prstClr>
              </a:solidFill>
            </a:ln>
          </c:spPr>
          <c:invertIfNegative val="0"/>
          <c:cat>
            <c:strRef>
              <c:f>'BCI 2018'!$B$6:$B$17</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'BCI 2018'!$G$6:$G$17</c:f>
              <c:numCache>
                <c:formatCode>General</c:formatCode>
                <c:ptCount val="12"/>
                <c:pt idx="0">
                  <c:v>54</c:v>
                </c:pt>
                <c:pt idx="1">
                  <c:v>57</c:v>
                </c:pt>
                <c:pt idx="2">
                  <c:v>15</c:v>
                </c:pt>
                <c:pt idx="3">
                  <c:v>26</c:v>
                </c:pt>
                <c:pt idx="4">
                  <c:v>112</c:v>
                </c:pt>
                <c:pt idx="5">
                  <c:v>79</c:v>
                </c:pt>
                <c:pt idx="6">
                  <c:v>37</c:v>
                </c:pt>
                <c:pt idx="7">
                  <c:v>95</c:v>
                </c:pt>
                <c:pt idx="8">
                  <c:v>48</c:v>
                </c:pt>
                <c:pt idx="9">
                  <c:v>24</c:v>
                </c:pt>
                <c:pt idx="10">
                  <c:v>78</c:v>
                </c:pt>
                <c:pt idx="11">
                  <c:v>63</c:v>
                </c:pt>
              </c:numCache>
            </c:numRef>
          </c:val>
        </c:ser>
        <c:dLbls>
          <c:showLegendKey val="0"/>
          <c:showVal val="0"/>
          <c:showCatName val="0"/>
          <c:showSerName val="0"/>
          <c:showPercent val="0"/>
          <c:showBubbleSize val="0"/>
        </c:dLbls>
        <c:gapWidth val="55"/>
        <c:overlap val="100"/>
        <c:axId val="569055648"/>
        <c:axId val="248593592"/>
      </c:barChart>
      <c:catAx>
        <c:axId val="569055648"/>
        <c:scaling>
          <c:orientation val="minMax"/>
        </c:scaling>
        <c:delete val="0"/>
        <c:axPos val="b"/>
        <c:numFmt formatCode="General" sourceLinked="0"/>
        <c:majorTickMark val="none"/>
        <c:minorTickMark val="none"/>
        <c:tickLblPos val="nextTo"/>
        <c:crossAx val="248593592"/>
        <c:crosses val="autoZero"/>
        <c:auto val="1"/>
        <c:lblAlgn val="ctr"/>
        <c:lblOffset val="100"/>
        <c:noMultiLvlLbl val="0"/>
      </c:catAx>
      <c:valAx>
        <c:axId val="248593592"/>
        <c:scaling>
          <c:orientation val="minMax"/>
        </c:scaling>
        <c:delete val="0"/>
        <c:axPos val="l"/>
        <c:majorGridlines/>
        <c:numFmt formatCode="General" sourceLinked="1"/>
        <c:majorTickMark val="none"/>
        <c:minorTickMark val="none"/>
        <c:tickLblPos val="nextTo"/>
        <c:crossAx val="569055648"/>
        <c:crosses val="autoZero"/>
        <c:crossBetween val="between"/>
      </c:valAx>
      <c:spPr>
        <a:ln>
          <a:solidFill>
            <a:schemeClr val="tx1"/>
          </a:solidFill>
        </a:ln>
      </c:spPr>
    </c:plotArea>
    <c:legend>
      <c:legendPos val="r"/>
      <c:layout>
        <c:manualLayout>
          <c:xMode val="edge"/>
          <c:yMode val="edge"/>
          <c:x val="0.10279776923714865"/>
          <c:y val="0.12084236988986799"/>
          <c:w val="0.23754988713266992"/>
          <c:h val="0.2587200235635419"/>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Number of Low,</a:t>
            </a:r>
            <a:r>
              <a:rPr lang="en-GB" b="1" baseline="0"/>
              <a:t> Medium and High Risk Columns 2014 v 2017</a:t>
            </a:r>
            <a:endParaRPr lang="en-GB" b="1"/>
          </a:p>
        </c:rich>
      </c:tx>
      <c:layout>
        <c:manualLayout>
          <c:xMode val="edge"/>
          <c:yMode val="edge"/>
          <c:x val="0.17658275670086693"/>
          <c:y val="1.355013550135501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621346101508841E-2"/>
          <c:y val="0.17931489404205023"/>
          <c:w val="0.91420148162499015"/>
          <c:h val="0.63624252967322015"/>
        </c:manualLayout>
      </c:layout>
      <c:barChart>
        <c:barDir val="col"/>
        <c:grouping val="stacked"/>
        <c:varyColors val="0"/>
        <c:ser>
          <c:idx val="0"/>
          <c:order val="0"/>
          <c:tx>
            <c:strRef>
              <c:f>'2014 v 2018'!$W$4</c:f>
              <c:strCache>
                <c:ptCount val="1"/>
                <c:pt idx="0">
                  <c:v>Low Risk</c:v>
                </c:pt>
              </c:strCache>
            </c:strRef>
          </c:tx>
          <c:spPr>
            <a:solidFill>
              <a:srgbClr val="92D050"/>
            </a:solidFill>
            <a:ln>
              <a:solidFill>
                <a:schemeClr val="tx1"/>
              </a:solidFill>
            </a:ln>
            <a:effectLst/>
          </c:spPr>
          <c:invertIfNegative val="0"/>
          <c:dPt>
            <c:idx val="0"/>
            <c:invertIfNegative val="0"/>
            <c:bubble3D val="0"/>
            <c:spPr>
              <a:solidFill>
                <a:srgbClr val="92D050"/>
              </a:solidFill>
              <a:ln>
                <a:solidFill>
                  <a:schemeClr val="tx1"/>
                </a:solidFill>
              </a:ln>
              <a:effectLst/>
            </c:spPr>
          </c:dPt>
          <c:dPt>
            <c:idx val="2"/>
            <c:invertIfNegative val="0"/>
            <c:bubble3D val="0"/>
            <c:spPr>
              <a:solidFill>
                <a:srgbClr val="92D050"/>
              </a:solidFill>
              <a:ln>
                <a:solidFill>
                  <a:schemeClr val="tx1"/>
                </a:solidFill>
              </a:ln>
              <a:effectLst/>
            </c:spPr>
          </c:dPt>
          <c:dPt>
            <c:idx val="4"/>
            <c:invertIfNegative val="0"/>
            <c:bubble3D val="0"/>
            <c:spPr>
              <a:solidFill>
                <a:srgbClr val="92D050"/>
              </a:solidFill>
              <a:ln>
                <a:solidFill>
                  <a:schemeClr val="tx1"/>
                </a:solidFill>
              </a:ln>
              <a:effectLst/>
            </c:spPr>
          </c:dPt>
          <c:dPt>
            <c:idx val="6"/>
            <c:invertIfNegative val="0"/>
            <c:bubble3D val="0"/>
            <c:spPr>
              <a:solidFill>
                <a:srgbClr val="92D050"/>
              </a:solidFill>
              <a:ln>
                <a:solidFill>
                  <a:schemeClr val="tx1"/>
                </a:solidFill>
              </a:ln>
              <a:effectLst/>
            </c:spPr>
          </c:dPt>
          <c:dPt>
            <c:idx val="8"/>
            <c:invertIfNegative val="0"/>
            <c:bubble3D val="0"/>
            <c:spPr>
              <a:solidFill>
                <a:srgbClr val="92D050"/>
              </a:solidFill>
              <a:ln>
                <a:solidFill>
                  <a:schemeClr val="tx1"/>
                </a:solidFill>
              </a:ln>
              <a:effectLst/>
            </c:spPr>
          </c:dPt>
          <c:dPt>
            <c:idx val="10"/>
            <c:invertIfNegative val="0"/>
            <c:bubble3D val="0"/>
            <c:spPr>
              <a:solidFill>
                <a:srgbClr val="92D050"/>
              </a:solidFill>
              <a:ln>
                <a:solidFill>
                  <a:schemeClr val="tx1"/>
                </a:solidFill>
              </a:ln>
              <a:effectLst/>
            </c:spPr>
          </c:dPt>
          <c:dPt>
            <c:idx val="12"/>
            <c:invertIfNegative val="0"/>
            <c:bubble3D val="0"/>
            <c:spPr>
              <a:solidFill>
                <a:srgbClr val="92D050"/>
              </a:solidFill>
              <a:ln>
                <a:solidFill>
                  <a:schemeClr val="tx1"/>
                </a:solidFill>
              </a:ln>
              <a:effectLst/>
            </c:spPr>
          </c:dPt>
          <c:dPt>
            <c:idx val="14"/>
            <c:invertIfNegative val="0"/>
            <c:bubble3D val="0"/>
            <c:spPr>
              <a:solidFill>
                <a:srgbClr val="92D050"/>
              </a:solidFill>
              <a:ln>
                <a:solidFill>
                  <a:schemeClr val="tx1"/>
                </a:solidFill>
              </a:ln>
              <a:effectLst/>
            </c:spPr>
          </c:dPt>
          <c:dPt>
            <c:idx val="16"/>
            <c:invertIfNegative val="0"/>
            <c:bubble3D val="0"/>
            <c:spPr>
              <a:solidFill>
                <a:srgbClr val="92D050"/>
              </a:solidFill>
              <a:ln>
                <a:solidFill>
                  <a:schemeClr val="tx1"/>
                </a:solidFill>
              </a:ln>
              <a:effectLst/>
            </c:spPr>
          </c:dPt>
          <c:dPt>
            <c:idx val="18"/>
            <c:invertIfNegative val="0"/>
            <c:bubble3D val="0"/>
            <c:spPr>
              <a:solidFill>
                <a:srgbClr val="92D050"/>
              </a:solidFill>
              <a:ln>
                <a:solidFill>
                  <a:schemeClr val="tx1"/>
                </a:solidFill>
              </a:ln>
              <a:effectLst/>
            </c:spPr>
          </c:dPt>
          <c:dPt>
            <c:idx val="20"/>
            <c:invertIfNegative val="0"/>
            <c:bubble3D val="0"/>
            <c:spPr>
              <a:solidFill>
                <a:srgbClr val="92D050"/>
              </a:solidFill>
              <a:ln>
                <a:solidFill>
                  <a:schemeClr val="tx1"/>
                </a:solidFill>
              </a:ln>
              <a:effectLst/>
            </c:spPr>
          </c:dPt>
          <c:dPt>
            <c:idx val="22"/>
            <c:invertIfNegative val="0"/>
            <c:bubble3D val="0"/>
            <c:spPr>
              <a:solidFill>
                <a:srgbClr val="92D050"/>
              </a:solidFill>
              <a:ln>
                <a:solidFill>
                  <a:schemeClr val="tx1"/>
                </a:solidFill>
              </a:ln>
              <a:effectLst/>
            </c:spPr>
          </c:dPt>
          <c:cat>
            <c:multiLvlStrRef>
              <c:f>'2014 v 2018'!$U$5:$V$28</c:f>
              <c:multiLvlStrCache>
                <c:ptCount val="24"/>
                <c:lvl>
                  <c:pt idx="0">
                    <c:v>2014</c:v>
                  </c:pt>
                  <c:pt idx="1">
                    <c:v>2017</c:v>
                  </c:pt>
                  <c:pt idx="2">
                    <c:v>2014</c:v>
                  </c:pt>
                  <c:pt idx="3">
                    <c:v>2017</c:v>
                  </c:pt>
                  <c:pt idx="4">
                    <c:v>2014</c:v>
                  </c:pt>
                  <c:pt idx="5">
                    <c:v>2017</c:v>
                  </c:pt>
                  <c:pt idx="6">
                    <c:v>2014</c:v>
                  </c:pt>
                  <c:pt idx="7">
                    <c:v>2017</c:v>
                  </c:pt>
                  <c:pt idx="8">
                    <c:v>2014</c:v>
                  </c:pt>
                  <c:pt idx="9">
                    <c:v>2017</c:v>
                  </c:pt>
                  <c:pt idx="10">
                    <c:v>2014</c:v>
                  </c:pt>
                  <c:pt idx="11">
                    <c:v>2017</c:v>
                  </c:pt>
                  <c:pt idx="12">
                    <c:v>2014</c:v>
                  </c:pt>
                  <c:pt idx="13">
                    <c:v>2017</c:v>
                  </c:pt>
                  <c:pt idx="14">
                    <c:v>2014</c:v>
                  </c:pt>
                  <c:pt idx="15">
                    <c:v>2017</c:v>
                  </c:pt>
                  <c:pt idx="16">
                    <c:v>2014</c:v>
                  </c:pt>
                  <c:pt idx="17">
                    <c:v>2017</c:v>
                  </c:pt>
                  <c:pt idx="18">
                    <c:v>2014</c:v>
                  </c:pt>
                  <c:pt idx="19">
                    <c:v>2017</c:v>
                  </c:pt>
                  <c:pt idx="20">
                    <c:v>2014</c:v>
                  </c:pt>
                  <c:pt idx="21">
                    <c:v>2017</c:v>
                  </c:pt>
                  <c:pt idx="22">
                    <c:v>2014</c:v>
                  </c:pt>
                  <c:pt idx="23">
                    <c:v>2017</c:v>
                  </c:pt>
                </c:lvl>
                <c:lvl>
                  <c:pt idx="0">
                    <c:v>Burnley</c:v>
                  </c:pt>
                  <c:pt idx="2">
                    <c:v>Chorley</c:v>
                  </c:pt>
                  <c:pt idx="4">
                    <c:v>Fylde</c:v>
                  </c:pt>
                  <c:pt idx="6">
                    <c:v>Hyndburn</c:v>
                  </c:pt>
                  <c:pt idx="8">
                    <c:v>Lancaster</c:v>
                  </c:pt>
                  <c:pt idx="10">
                    <c:v>Pendle</c:v>
                  </c:pt>
                  <c:pt idx="12">
                    <c:v>Preston</c:v>
                  </c:pt>
                  <c:pt idx="14">
                    <c:v>Ribble Valley</c:v>
                  </c:pt>
                  <c:pt idx="16">
                    <c:v>Rossendale</c:v>
                  </c:pt>
                  <c:pt idx="18">
                    <c:v>South Ribble</c:v>
                  </c:pt>
                  <c:pt idx="20">
                    <c:v>West Lancs</c:v>
                  </c:pt>
                  <c:pt idx="22">
                    <c:v>Wyre</c:v>
                  </c:pt>
                </c:lvl>
              </c:multiLvlStrCache>
            </c:multiLvlStrRef>
          </c:cat>
          <c:val>
            <c:numRef>
              <c:f>'2014 v 2018'!$W$5:$W$28</c:f>
              <c:numCache>
                <c:formatCode>#,##0</c:formatCode>
                <c:ptCount val="24"/>
                <c:pt idx="0">
                  <c:v>2577</c:v>
                </c:pt>
                <c:pt idx="1">
                  <c:v>7367</c:v>
                </c:pt>
                <c:pt idx="2">
                  <c:v>9409</c:v>
                </c:pt>
                <c:pt idx="3">
                  <c:v>12325</c:v>
                </c:pt>
                <c:pt idx="4">
                  <c:v>5376</c:v>
                </c:pt>
                <c:pt idx="5">
                  <c:v>9256</c:v>
                </c:pt>
                <c:pt idx="6">
                  <c:v>8488</c:v>
                </c:pt>
                <c:pt idx="7">
                  <c:v>8487</c:v>
                </c:pt>
                <c:pt idx="8">
                  <c:v>12762</c:v>
                </c:pt>
                <c:pt idx="9">
                  <c:v>12803</c:v>
                </c:pt>
                <c:pt idx="10">
                  <c:v>9406</c:v>
                </c:pt>
                <c:pt idx="11">
                  <c:v>8241</c:v>
                </c:pt>
                <c:pt idx="12">
                  <c:v>16447</c:v>
                </c:pt>
                <c:pt idx="13">
                  <c:v>16020</c:v>
                </c:pt>
                <c:pt idx="14">
                  <c:v>6403</c:v>
                </c:pt>
                <c:pt idx="15">
                  <c:v>6183</c:v>
                </c:pt>
                <c:pt idx="16">
                  <c:v>6629</c:v>
                </c:pt>
                <c:pt idx="17">
                  <c:v>6629</c:v>
                </c:pt>
                <c:pt idx="18">
                  <c:v>13460</c:v>
                </c:pt>
                <c:pt idx="19">
                  <c:v>13593</c:v>
                </c:pt>
                <c:pt idx="20">
                  <c:v>17117</c:v>
                </c:pt>
                <c:pt idx="21">
                  <c:v>15572</c:v>
                </c:pt>
                <c:pt idx="22">
                  <c:v>5531</c:v>
                </c:pt>
                <c:pt idx="23">
                  <c:v>10098</c:v>
                </c:pt>
              </c:numCache>
            </c:numRef>
          </c:val>
        </c:ser>
        <c:ser>
          <c:idx val="1"/>
          <c:order val="1"/>
          <c:tx>
            <c:strRef>
              <c:f>'2014 v 2018'!$X$4</c:f>
              <c:strCache>
                <c:ptCount val="1"/>
                <c:pt idx="0">
                  <c:v>Medium Risk</c:v>
                </c:pt>
              </c:strCache>
            </c:strRef>
          </c:tx>
          <c:spPr>
            <a:solidFill>
              <a:srgbClr val="FFFF00"/>
            </a:solidFill>
            <a:ln>
              <a:solidFill>
                <a:srgbClr val="C00000"/>
              </a:solidFill>
            </a:ln>
            <a:effectLst/>
          </c:spPr>
          <c:invertIfNegative val="0"/>
          <c:dPt>
            <c:idx val="1"/>
            <c:invertIfNegative val="0"/>
            <c:bubble3D val="0"/>
            <c:spPr>
              <a:solidFill>
                <a:srgbClr val="FFFF00"/>
              </a:solidFill>
              <a:ln>
                <a:solidFill>
                  <a:srgbClr val="C00000"/>
                </a:solidFill>
              </a:ln>
              <a:effectLst/>
            </c:spPr>
          </c:dPt>
          <c:dPt>
            <c:idx val="3"/>
            <c:invertIfNegative val="0"/>
            <c:bubble3D val="0"/>
            <c:spPr>
              <a:solidFill>
                <a:srgbClr val="FFFF00"/>
              </a:solidFill>
              <a:ln>
                <a:solidFill>
                  <a:srgbClr val="C00000"/>
                </a:solidFill>
              </a:ln>
              <a:effectLst/>
            </c:spPr>
          </c:dPt>
          <c:dPt>
            <c:idx val="5"/>
            <c:invertIfNegative val="0"/>
            <c:bubble3D val="0"/>
            <c:spPr>
              <a:solidFill>
                <a:srgbClr val="FFFF00"/>
              </a:solidFill>
              <a:ln>
                <a:solidFill>
                  <a:srgbClr val="C00000"/>
                </a:solidFill>
              </a:ln>
              <a:effectLst/>
            </c:spPr>
          </c:dPt>
          <c:dPt>
            <c:idx val="7"/>
            <c:invertIfNegative val="0"/>
            <c:bubble3D val="0"/>
            <c:spPr>
              <a:solidFill>
                <a:srgbClr val="FFFF00"/>
              </a:solidFill>
              <a:ln>
                <a:solidFill>
                  <a:srgbClr val="C00000"/>
                </a:solidFill>
              </a:ln>
              <a:effectLst/>
            </c:spPr>
          </c:dPt>
          <c:dPt>
            <c:idx val="9"/>
            <c:invertIfNegative val="0"/>
            <c:bubble3D val="0"/>
            <c:spPr>
              <a:solidFill>
                <a:srgbClr val="FFFF00"/>
              </a:solidFill>
              <a:ln>
                <a:solidFill>
                  <a:srgbClr val="C00000"/>
                </a:solidFill>
              </a:ln>
              <a:effectLst/>
            </c:spPr>
          </c:dPt>
          <c:dPt>
            <c:idx val="11"/>
            <c:invertIfNegative val="0"/>
            <c:bubble3D val="0"/>
            <c:spPr>
              <a:solidFill>
                <a:srgbClr val="FFFF00"/>
              </a:solidFill>
              <a:ln>
                <a:solidFill>
                  <a:srgbClr val="C00000"/>
                </a:solidFill>
              </a:ln>
              <a:effectLst/>
            </c:spPr>
          </c:dPt>
          <c:dPt>
            <c:idx val="13"/>
            <c:invertIfNegative val="0"/>
            <c:bubble3D val="0"/>
            <c:spPr>
              <a:solidFill>
                <a:srgbClr val="FFFF00"/>
              </a:solidFill>
              <a:ln>
                <a:solidFill>
                  <a:srgbClr val="C00000"/>
                </a:solidFill>
              </a:ln>
              <a:effectLst/>
            </c:spPr>
          </c:dPt>
          <c:dPt>
            <c:idx val="15"/>
            <c:invertIfNegative val="0"/>
            <c:bubble3D val="0"/>
            <c:spPr>
              <a:solidFill>
                <a:srgbClr val="FFFF00"/>
              </a:solidFill>
              <a:ln>
                <a:solidFill>
                  <a:srgbClr val="C00000"/>
                </a:solidFill>
              </a:ln>
              <a:effectLst/>
            </c:spPr>
          </c:dPt>
          <c:dPt>
            <c:idx val="17"/>
            <c:invertIfNegative val="0"/>
            <c:bubble3D val="0"/>
            <c:spPr>
              <a:solidFill>
                <a:srgbClr val="FFFF00"/>
              </a:solidFill>
              <a:ln>
                <a:solidFill>
                  <a:srgbClr val="C00000"/>
                </a:solidFill>
              </a:ln>
              <a:effectLst/>
            </c:spPr>
          </c:dPt>
          <c:dPt>
            <c:idx val="19"/>
            <c:invertIfNegative val="0"/>
            <c:bubble3D val="0"/>
            <c:spPr>
              <a:solidFill>
                <a:srgbClr val="FFFF00"/>
              </a:solidFill>
              <a:ln>
                <a:solidFill>
                  <a:srgbClr val="C00000"/>
                </a:solidFill>
              </a:ln>
              <a:effectLst/>
            </c:spPr>
          </c:dPt>
          <c:dPt>
            <c:idx val="21"/>
            <c:invertIfNegative val="0"/>
            <c:bubble3D val="0"/>
            <c:spPr>
              <a:solidFill>
                <a:srgbClr val="FFFF00"/>
              </a:solidFill>
              <a:ln>
                <a:solidFill>
                  <a:srgbClr val="C00000"/>
                </a:solidFill>
              </a:ln>
              <a:effectLst/>
            </c:spPr>
          </c:dPt>
          <c:dPt>
            <c:idx val="23"/>
            <c:invertIfNegative val="0"/>
            <c:bubble3D val="0"/>
            <c:spPr>
              <a:solidFill>
                <a:srgbClr val="FFFF00"/>
              </a:solidFill>
              <a:ln>
                <a:solidFill>
                  <a:srgbClr val="C00000"/>
                </a:solidFill>
              </a:ln>
              <a:effectLst/>
            </c:spPr>
          </c:dPt>
          <c:cat>
            <c:multiLvlStrRef>
              <c:f>'2014 v 2018'!$U$5:$V$28</c:f>
              <c:multiLvlStrCache>
                <c:ptCount val="24"/>
                <c:lvl>
                  <c:pt idx="0">
                    <c:v>2014</c:v>
                  </c:pt>
                  <c:pt idx="1">
                    <c:v>2017</c:v>
                  </c:pt>
                  <c:pt idx="2">
                    <c:v>2014</c:v>
                  </c:pt>
                  <c:pt idx="3">
                    <c:v>2017</c:v>
                  </c:pt>
                  <c:pt idx="4">
                    <c:v>2014</c:v>
                  </c:pt>
                  <c:pt idx="5">
                    <c:v>2017</c:v>
                  </c:pt>
                  <c:pt idx="6">
                    <c:v>2014</c:v>
                  </c:pt>
                  <c:pt idx="7">
                    <c:v>2017</c:v>
                  </c:pt>
                  <c:pt idx="8">
                    <c:v>2014</c:v>
                  </c:pt>
                  <c:pt idx="9">
                    <c:v>2017</c:v>
                  </c:pt>
                  <c:pt idx="10">
                    <c:v>2014</c:v>
                  </c:pt>
                  <c:pt idx="11">
                    <c:v>2017</c:v>
                  </c:pt>
                  <c:pt idx="12">
                    <c:v>2014</c:v>
                  </c:pt>
                  <c:pt idx="13">
                    <c:v>2017</c:v>
                  </c:pt>
                  <c:pt idx="14">
                    <c:v>2014</c:v>
                  </c:pt>
                  <c:pt idx="15">
                    <c:v>2017</c:v>
                  </c:pt>
                  <c:pt idx="16">
                    <c:v>2014</c:v>
                  </c:pt>
                  <c:pt idx="17">
                    <c:v>2017</c:v>
                  </c:pt>
                  <c:pt idx="18">
                    <c:v>2014</c:v>
                  </c:pt>
                  <c:pt idx="19">
                    <c:v>2017</c:v>
                  </c:pt>
                  <c:pt idx="20">
                    <c:v>2014</c:v>
                  </c:pt>
                  <c:pt idx="21">
                    <c:v>2017</c:v>
                  </c:pt>
                  <c:pt idx="22">
                    <c:v>2014</c:v>
                  </c:pt>
                  <c:pt idx="23">
                    <c:v>2017</c:v>
                  </c:pt>
                </c:lvl>
                <c:lvl>
                  <c:pt idx="0">
                    <c:v>Burnley</c:v>
                  </c:pt>
                  <c:pt idx="2">
                    <c:v>Chorley</c:v>
                  </c:pt>
                  <c:pt idx="4">
                    <c:v>Fylde</c:v>
                  </c:pt>
                  <c:pt idx="6">
                    <c:v>Hyndburn</c:v>
                  </c:pt>
                  <c:pt idx="8">
                    <c:v>Lancaster</c:v>
                  </c:pt>
                  <c:pt idx="10">
                    <c:v>Pendle</c:v>
                  </c:pt>
                  <c:pt idx="12">
                    <c:v>Preston</c:v>
                  </c:pt>
                  <c:pt idx="14">
                    <c:v>Ribble Valley</c:v>
                  </c:pt>
                  <c:pt idx="16">
                    <c:v>Rossendale</c:v>
                  </c:pt>
                  <c:pt idx="18">
                    <c:v>South Ribble</c:v>
                  </c:pt>
                  <c:pt idx="20">
                    <c:v>West Lancs</c:v>
                  </c:pt>
                  <c:pt idx="22">
                    <c:v>Wyre</c:v>
                  </c:pt>
                </c:lvl>
              </c:multiLvlStrCache>
            </c:multiLvlStrRef>
          </c:cat>
          <c:val>
            <c:numRef>
              <c:f>'2014 v 2018'!$X$5:$X$28</c:f>
              <c:numCache>
                <c:formatCode>#,##0</c:formatCode>
                <c:ptCount val="24"/>
                <c:pt idx="0">
                  <c:v>5229</c:v>
                </c:pt>
                <c:pt idx="1">
                  <c:v>2406</c:v>
                </c:pt>
                <c:pt idx="2">
                  <c:v>1278</c:v>
                </c:pt>
                <c:pt idx="3">
                  <c:v>749</c:v>
                </c:pt>
                <c:pt idx="4">
                  <c:v>4031</c:v>
                </c:pt>
                <c:pt idx="5">
                  <c:v>396</c:v>
                </c:pt>
                <c:pt idx="6">
                  <c:v>265</c:v>
                </c:pt>
                <c:pt idx="7">
                  <c:v>716</c:v>
                </c:pt>
                <c:pt idx="8">
                  <c:v>2626</c:v>
                </c:pt>
                <c:pt idx="9">
                  <c:v>2430</c:v>
                </c:pt>
                <c:pt idx="10">
                  <c:v>665</c:v>
                </c:pt>
                <c:pt idx="11">
                  <c:v>850</c:v>
                </c:pt>
                <c:pt idx="12">
                  <c:v>275</c:v>
                </c:pt>
                <c:pt idx="13">
                  <c:v>298</c:v>
                </c:pt>
                <c:pt idx="14">
                  <c:v>368</c:v>
                </c:pt>
                <c:pt idx="15">
                  <c:v>338</c:v>
                </c:pt>
                <c:pt idx="16">
                  <c:v>1897</c:v>
                </c:pt>
                <c:pt idx="17">
                  <c:v>1260</c:v>
                </c:pt>
                <c:pt idx="18">
                  <c:v>810</c:v>
                </c:pt>
                <c:pt idx="19">
                  <c:v>866</c:v>
                </c:pt>
                <c:pt idx="20">
                  <c:v>2305</c:v>
                </c:pt>
                <c:pt idx="21">
                  <c:v>3084</c:v>
                </c:pt>
                <c:pt idx="22">
                  <c:v>3673</c:v>
                </c:pt>
                <c:pt idx="23">
                  <c:v>1432</c:v>
                </c:pt>
              </c:numCache>
            </c:numRef>
          </c:val>
        </c:ser>
        <c:ser>
          <c:idx val="2"/>
          <c:order val="2"/>
          <c:tx>
            <c:strRef>
              <c:f>'2014 v 2018'!$Y$4</c:f>
              <c:strCache>
                <c:ptCount val="1"/>
                <c:pt idx="0">
                  <c:v>High Risk</c:v>
                </c:pt>
              </c:strCache>
            </c:strRef>
          </c:tx>
          <c:spPr>
            <a:solidFill>
              <a:srgbClr val="FF0000"/>
            </a:solidFill>
            <a:ln>
              <a:solidFill>
                <a:schemeClr val="tx1"/>
              </a:solidFill>
            </a:ln>
            <a:effectLst/>
          </c:spPr>
          <c:invertIfNegative val="0"/>
          <c:dPt>
            <c:idx val="0"/>
            <c:invertIfNegative val="0"/>
            <c:bubble3D val="0"/>
            <c:spPr>
              <a:solidFill>
                <a:srgbClr val="FF0000"/>
              </a:solidFill>
              <a:ln>
                <a:solidFill>
                  <a:schemeClr val="tx1"/>
                </a:solidFill>
              </a:ln>
              <a:effectLst/>
            </c:spPr>
          </c:dPt>
          <c:dPt>
            <c:idx val="2"/>
            <c:invertIfNegative val="0"/>
            <c:bubble3D val="0"/>
            <c:spPr>
              <a:solidFill>
                <a:srgbClr val="FF0000"/>
              </a:solidFill>
              <a:ln>
                <a:solidFill>
                  <a:schemeClr val="tx1"/>
                </a:solidFill>
              </a:ln>
              <a:effectLst/>
            </c:spPr>
          </c:dPt>
          <c:dPt>
            <c:idx val="4"/>
            <c:invertIfNegative val="0"/>
            <c:bubble3D val="0"/>
            <c:spPr>
              <a:solidFill>
                <a:srgbClr val="FF0000"/>
              </a:solidFill>
              <a:ln>
                <a:solidFill>
                  <a:schemeClr val="tx1"/>
                </a:solidFill>
              </a:ln>
              <a:effectLst/>
            </c:spPr>
          </c:dPt>
          <c:dPt>
            <c:idx val="6"/>
            <c:invertIfNegative val="0"/>
            <c:bubble3D val="0"/>
            <c:spPr>
              <a:solidFill>
                <a:srgbClr val="FF0000"/>
              </a:solidFill>
              <a:ln>
                <a:solidFill>
                  <a:schemeClr val="tx1"/>
                </a:solidFill>
              </a:ln>
              <a:effectLst/>
            </c:spPr>
          </c:dPt>
          <c:dPt>
            <c:idx val="8"/>
            <c:invertIfNegative val="0"/>
            <c:bubble3D val="0"/>
            <c:spPr>
              <a:solidFill>
                <a:srgbClr val="FF0000"/>
              </a:solidFill>
              <a:ln>
                <a:solidFill>
                  <a:schemeClr val="tx1"/>
                </a:solidFill>
              </a:ln>
              <a:effectLst/>
            </c:spPr>
          </c:dPt>
          <c:dPt>
            <c:idx val="10"/>
            <c:invertIfNegative val="0"/>
            <c:bubble3D val="0"/>
            <c:spPr>
              <a:solidFill>
                <a:srgbClr val="FF0000"/>
              </a:solidFill>
              <a:ln>
                <a:solidFill>
                  <a:schemeClr val="tx1"/>
                </a:solidFill>
              </a:ln>
              <a:effectLst/>
            </c:spPr>
          </c:dPt>
          <c:dPt>
            <c:idx val="12"/>
            <c:invertIfNegative val="0"/>
            <c:bubble3D val="0"/>
            <c:spPr>
              <a:solidFill>
                <a:srgbClr val="FF0000"/>
              </a:solidFill>
              <a:ln>
                <a:solidFill>
                  <a:schemeClr val="tx1"/>
                </a:solidFill>
              </a:ln>
              <a:effectLst/>
            </c:spPr>
          </c:dPt>
          <c:dPt>
            <c:idx val="14"/>
            <c:invertIfNegative val="0"/>
            <c:bubble3D val="0"/>
            <c:spPr>
              <a:solidFill>
                <a:srgbClr val="FF0000"/>
              </a:solidFill>
              <a:ln>
                <a:solidFill>
                  <a:schemeClr val="tx1"/>
                </a:solidFill>
              </a:ln>
              <a:effectLst/>
            </c:spPr>
          </c:dPt>
          <c:dPt>
            <c:idx val="16"/>
            <c:invertIfNegative val="0"/>
            <c:bubble3D val="0"/>
            <c:spPr>
              <a:solidFill>
                <a:srgbClr val="FF0000"/>
              </a:solidFill>
              <a:ln>
                <a:solidFill>
                  <a:schemeClr val="tx1"/>
                </a:solidFill>
              </a:ln>
              <a:effectLst/>
            </c:spPr>
          </c:dPt>
          <c:dPt>
            <c:idx val="18"/>
            <c:invertIfNegative val="0"/>
            <c:bubble3D val="0"/>
            <c:spPr>
              <a:solidFill>
                <a:srgbClr val="FF0000"/>
              </a:solidFill>
              <a:ln>
                <a:solidFill>
                  <a:schemeClr val="tx1"/>
                </a:solidFill>
              </a:ln>
              <a:effectLst/>
            </c:spPr>
          </c:dPt>
          <c:dPt>
            <c:idx val="20"/>
            <c:invertIfNegative val="0"/>
            <c:bubble3D val="0"/>
            <c:spPr>
              <a:solidFill>
                <a:srgbClr val="FF0000"/>
              </a:solidFill>
              <a:ln>
                <a:solidFill>
                  <a:schemeClr val="tx1"/>
                </a:solidFill>
              </a:ln>
              <a:effectLst/>
            </c:spPr>
          </c:dPt>
          <c:dPt>
            <c:idx val="22"/>
            <c:invertIfNegative val="0"/>
            <c:bubble3D val="0"/>
            <c:spPr>
              <a:solidFill>
                <a:srgbClr val="FF0000"/>
              </a:solidFill>
              <a:ln>
                <a:solidFill>
                  <a:schemeClr val="tx1"/>
                </a:solidFill>
              </a:ln>
              <a:effectLst/>
            </c:spPr>
          </c:dPt>
          <c:cat>
            <c:multiLvlStrRef>
              <c:f>'2014 v 2018'!$U$5:$V$28</c:f>
              <c:multiLvlStrCache>
                <c:ptCount val="24"/>
                <c:lvl>
                  <c:pt idx="0">
                    <c:v>2014</c:v>
                  </c:pt>
                  <c:pt idx="1">
                    <c:v>2017</c:v>
                  </c:pt>
                  <c:pt idx="2">
                    <c:v>2014</c:v>
                  </c:pt>
                  <c:pt idx="3">
                    <c:v>2017</c:v>
                  </c:pt>
                  <c:pt idx="4">
                    <c:v>2014</c:v>
                  </c:pt>
                  <c:pt idx="5">
                    <c:v>2017</c:v>
                  </c:pt>
                  <c:pt idx="6">
                    <c:v>2014</c:v>
                  </c:pt>
                  <c:pt idx="7">
                    <c:v>2017</c:v>
                  </c:pt>
                  <c:pt idx="8">
                    <c:v>2014</c:v>
                  </c:pt>
                  <c:pt idx="9">
                    <c:v>2017</c:v>
                  </c:pt>
                  <c:pt idx="10">
                    <c:v>2014</c:v>
                  </c:pt>
                  <c:pt idx="11">
                    <c:v>2017</c:v>
                  </c:pt>
                  <c:pt idx="12">
                    <c:v>2014</c:v>
                  </c:pt>
                  <c:pt idx="13">
                    <c:v>2017</c:v>
                  </c:pt>
                  <c:pt idx="14">
                    <c:v>2014</c:v>
                  </c:pt>
                  <c:pt idx="15">
                    <c:v>2017</c:v>
                  </c:pt>
                  <c:pt idx="16">
                    <c:v>2014</c:v>
                  </c:pt>
                  <c:pt idx="17">
                    <c:v>2017</c:v>
                  </c:pt>
                  <c:pt idx="18">
                    <c:v>2014</c:v>
                  </c:pt>
                  <c:pt idx="19">
                    <c:v>2017</c:v>
                  </c:pt>
                  <c:pt idx="20">
                    <c:v>2014</c:v>
                  </c:pt>
                  <c:pt idx="21">
                    <c:v>2017</c:v>
                  </c:pt>
                  <c:pt idx="22">
                    <c:v>2014</c:v>
                  </c:pt>
                  <c:pt idx="23">
                    <c:v>2017</c:v>
                  </c:pt>
                </c:lvl>
                <c:lvl>
                  <c:pt idx="0">
                    <c:v>Burnley</c:v>
                  </c:pt>
                  <c:pt idx="2">
                    <c:v>Chorley</c:v>
                  </c:pt>
                  <c:pt idx="4">
                    <c:v>Fylde</c:v>
                  </c:pt>
                  <c:pt idx="6">
                    <c:v>Hyndburn</c:v>
                  </c:pt>
                  <c:pt idx="8">
                    <c:v>Lancaster</c:v>
                  </c:pt>
                  <c:pt idx="10">
                    <c:v>Pendle</c:v>
                  </c:pt>
                  <c:pt idx="12">
                    <c:v>Preston</c:v>
                  </c:pt>
                  <c:pt idx="14">
                    <c:v>Ribble Valley</c:v>
                  </c:pt>
                  <c:pt idx="16">
                    <c:v>Rossendale</c:v>
                  </c:pt>
                  <c:pt idx="18">
                    <c:v>South Ribble</c:v>
                  </c:pt>
                  <c:pt idx="20">
                    <c:v>West Lancs</c:v>
                  </c:pt>
                  <c:pt idx="22">
                    <c:v>Wyre</c:v>
                  </c:pt>
                </c:lvl>
              </c:multiLvlStrCache>
            </c:multiLvlStrRef>
          </c:cat>
          <c:val>
            <c:numRef>
              <c:f>'2014 v 2018'!$Y$5:$Y$28</c:f>
              <c:numCache>
                <c:formatCode>#,##0</c:formatCode>
                <c:ptCount val="24"/>
                <c:pt idx="0">
                  <c:v>2424</c:v>
                </c:pt>
                <c:pt idx="1">
                  <c:v>780</c:v>
                </c:pt>
                <c:pt idx="2">
                  <c:v>2541</c:v>
                </c:pt>
                <c:pt idx="3">
                  <c:v>437</c:v>
                </c:pt>
                <c:pt idx="4">
                  <c:v>593</c:v>
                </c:pt>
                <c:pt idx="5">
                  <c:v>355</c:v>
                </c:pt>
                <c:pt idx="6">
                  <c:v>2</c:v>
                </c:pt>
                <c:pt idx="7">
                  <c:v>118</c:v>
                </c:pt>
                <c:pt idx="8">
                  <c:v>589</c:v>
                </c:pt>
                <c:pt idx="9">
                  <c:v>548</c:v>
                </c:pt>
                <c:pt idx="10">
                  <c:v>75</c:v>
                </c:pt>
                <c:pt idx="11">
                  <c:v>801</c:v>
                </c:pt>
                <c:pt idx="12">
                  <c:v>13</c:v>
                </c:pt>
                <c:pt idx="13">
                  <c:v>743</c:v>
                </c:pt>
                <c:pt idx="14">
                  <c:v>60</c:v>
                </c:pt>
                <c:pt idx="15">
                  <c:v>212</c:v>
                </c:pt>
                <c:pt idx="16">
                  <c:v>444</c:v>
                </c:pt>
                <c:pt idx="17">
                  <c:v>1079</c:v>
                </c:pt>
                <c:pt idx="18">
                  <c:v>49</c:v>
                </c:pt>
                <c:pt idx="19">
                  <c:v>140</c:v>
                </c:pt>
                <c:pt idx="20">
                  <c:v>437</c:v>
                </c:pt>
                <c:pt idx="21">
                  <c:v>2125</c:v>
                </c:pt>
                <c:pt idx="22">
                  <c:v>3579</c:v>
                </c:pt>
                <c:pt idx="23">
                  <c:v>1338</c:v>
                </c:pt>
              </c:numCache>
            </c:numRef>
          </c:val>
        </c:ser>
        <c:dLbls>
          <c:showLegendKey val="0"/>
          <c:showVal val="0"/>
          <c:showCatName val="0"/>
          <c:showSerName val="0"/>
          <c:showPercent val="0"/>
          <c:showBubbleSize val="0"/>
        </c:dLbls>
        <c:gapWidth val="42"/>
        <c:overlap val="100"/>
        <c:axId val="252212136"/>
        <c:axId val="519665168"/>
      </c:barChart>
      <c:catAx>
        <c:axId val="25221213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665168"/>
        <c:crosses val="autoZero"/>
        <c:auto val="1"/>
        <c:lblAlgn val="ctr"/>
        <c:lblOffset val="100"/>
        <c:noMultiLvlLbl val="0"/>
      </c:catAx>
      <c:valAx>
        <c:axId val="519665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12136"/>
        <c:crosses val="autoZero"/>
        <c:crossBetween val="between"/>
      </c:valAx>
      <c:spPr>
        <a:noFill/>
        <a:ln>
          <a:solidFill>
            <a:schemeClr val="tx1"/>
          </a:solidFill>
        </a:ln>
        <a:effectLst/>
      </c:spPr>
    </c:plotArea>
    <c:legend>
      <c:legendPos val="b"/>
      <c:layout>
        <c:manualLayout>
          <c:xMode val="edge"/>
          <c:yMode val="edge"/>
          <c:x val="8.4551581018055655E-2"/>
          <c:y val="0.23165629005676611"/>
          <c:w val="0.15196492100692982"/>
          <c:h val="0.199870985999900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solidFill>
                  <a:sysClr val="windowText" lastClr="000000"/>
                </a:solidFill>
              </a:rPr>
              <a:t>Signals</a:t>
            </a:r>
            <a:r>
              <a:rPr lang="en-US" sz="1200" b="1" baseline="0">
                <a:solidFill>
                  <a:sysClr val="windowText" lastClr="000000"/>
                </a:solidFill>
              </a:rPr>
              <a:t> by Age and District 2013 v 2018</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1182514995098162E-2"/>
          <c:y val="0.10949074074074074"/>
          <c:w val="0.92908300348355266"/>
          <c:h val="0.64626531058617676"/>
        </c:manualLayout>
      </c:layout>
      <c:barChart>
        <c:barDir val="col"/>
        <c:grouping val="stacked"/>
        <c:varyColors val="0"/>
        <c:ser>
          <c:idx val="1"/>
          <c:order val="0"/>
          <c:tx>
            <c:strRef>
              <c:f>'Signals 2018'!$E$41</c:f>
              <c:strCache>
                <c:ptCount val="1"/>
                <c:pt idx="0">
                  <c:v>up to 20 yrs</c:v>
                </c:pt>
              </c:strCache>
            </c:strRef>
          </c:tx>
          <c:spPr>
            <a:solidFill>
              <a:srgbClr val="92D050"/>
            </a:solidFill>
            <a:ln>
              <a:solidFill>
                <a:schemeClr val="tx1"/>
              </a:solidFill>
            </a:ln>
            <a:effectLst/>
          </c:spPr>
          <c:invertIfNegative val="0"/>
          <c:dPt>
            <c:idx val="0"/>
            <c:invertIfNegative val="0"/>
            <c:bubble3D val="0"/>
            <c:spPr>
              <a:solidFill>
                <a:srgbClr val="92D050"/>
              </a:solidFill>
              <a:ln>
                <a:solidFill>
                  <a:schemeClr val="tx1"/>
                </a:solidFill>
              </a:ln>
              <a:effectLst/>
            </c:spPr>
          </c:dPt>
          <c:dPt>
            <c:idx val="2"/>
            <c:invertIfNegative val="0"/>
            <c:bubble3D val="0"/>
            <c:spPr>
              <a:solidFill>
                <a:srgbClr val="92D050"/>
              </a:solidFill>
              <a:ln>
                <a:solidFill>
                  <a:schemeClr val="tx1"/>
                </a:solidFill>
              </a:ln>
              <a:effectLst/>
            </c:spPr>
          </c:dPt>
          <c:dPt>
            <c:idx val="4"/>
            <c:invertIfNegative val="0"/>
            <c:bubble3D val="0"/>
            <c:spPr>
              <a:solidFill>
                <a:srgbClr val="92D050"/>
              </a:solidFill>
              <a:ln>
                <a:solidFill>
                  <a:schemeClr val="tx1"/>
                </a:solidFill>
              </a:ln>
              <a:effectLst/>
            </c:spPr>
          </c:dPt>
          <c:dPt>
            <c:idx val="6"/>
            <c:invertIfNegative val="0"/>
            <c:bubble3D val="0"/>
            <c:spPr>
              <a:solidFill>
                <a:srgbClr val="92D050"/>
              </a:solidFill>
              <a:ln>
                <a:solidFill>
                  <a:schemeClr val="tx1"/>
                </a:solidFill>
              </a:ln>
              <a:effectLst/>
            </c:spPr>
          </c:dPt>
          <c:dPt>
            <c:idx val="8"/>
            <c:invertIfNegative val="0"/>
            <c:bubble3D val="0"/>
            <c:spPr>
              <a:solidFill>
                <a:srgbClr val="92D050"/>
              </a:solidFill>
              <a:ln>
                <a:solidFill>
                  <a:schemeClr val="tx1"/>
                </a:solidFill>
              </a:ln>
              <a:effectLst/>
            </c:spPr>
          </c:dPt>
          <c:dPt>
            <c:idx val="10"/>
            <c:invertIfNegative val="0"/>
            <c:bubble3D val="0"/>
            <c:spPr>
              <a:solidFill>
                <a:srgbClr val="92D050"/>
              </a:solidFill>
              <a:ln>
                <a:solidFill>
                  <a:schemeClr val="tx1"/>
                </a:solidFill>
              </a:ln>
              <a:effectLst/>
            </c:spPr>
          </c:dPt>
          <c:dPt>
            <c:idx val="12"/>
            <c:invertIfNegative val="0"/>
            <c:bubble3D val="0"/>
            <c:spPr>
              <a:solidFill>
                <a:srgbClr val="92D050"/>
              </a:solidFill>
              <a:ln>
                <a:solidFill>
                  <a:schemeClr val="tx1"/>
                </a:solidFill>
              </a:ln>
              <a:effectLst/>
            </c:spPr>
          </c:dPt>
          <c:dPt>
            <c:idx val="14"/>
            <c:invertIfNegative val="0"/>
            <c:bubble3D val="0"/>
            <c:spPr>
              <a:solidFill>
                <a:srgbClr val="92D050"/>
              </a:solidFill>
              <a:ln>
                <a:solidFill>
                  <a:schemeClr val="tx1"/>
                </a:solidFill>
              </a:ln>
              <a:effectLst/>
            </c:spPr>
          </c:dPt>
          <c:dPt>
            <c:idx val="16"/>
            <c:invertIfNegative val="0"/>
            <c:bubble3D val="0"/>
            <c:spPr>
              <a:solidFill>
                <a:srgbClr val="92D050"/>
              </a:solidFill>
              <a:ln>
                <a:solidFill>
                  <a:schemeClr val="tx1"/>
                </a:solidFill>
              </a:ln>
              <a:effectLst/>
            </c:spPr>
          </c:dPt>
          <c:dPt>
            <c:idx val="18"/>
            <c:invertIfNegative val="0"/>
            <c:bubble3D val="0"/>
            <c:spPr>
              <a:solidFill>
                <a:srgbClr val="92D050"/>
              </a:solidFill>
              <a:ln>
                <a:solidFill>
                  <a:schemeClr val="tx1"/>
                </a:solidFill>
              </a:ln>
              <a:effectLst/>
            </c:spPr>
          </c:dPt>
          <c:dPt>
            <c:idx val="20"/>
            <c:invertIfNegative val="0"/>
            <c:bubble3D val="0"/>
            <c:spPr>
              <a:solidFill>
                <a:srgbClr val="92D050"/>
              </a:solidFill>
              <a:ln>
                <a:solidFill>
                  <a:schemeClr val="tx1"/>
                </a:solidFill>
              </a:ln>
              <a:effectLst/>
            </c:spPr>
          </c:dPt>
          <c:dPt>
            <c:idx val="22"/>
            <c:invertIfNegative val="0"/>
            <c:bubble3D val="0"/>
            <c:spPr>
              <a:solidFill>
                <a:srgbClr val="92D050"/>
              </a:solidFill>
              <a:ln>
                <a:solidFill>
                  <a:schemeClr val="tx1"/>
                </a:solidFill>
              </a:ln>
              <a:effectLst/>
            </c:spPr>
          </c:dPt>
          <c:cat>
            <c:multiLvlStrRef>
              <c:f>'Signals 2018'!$B$42:$C$65</c:f>
              <c:multiLvlStrCache>
                <c:ptCount val="24"/>
                <c:lvl>
                  <c:pt idx="0">
                    <c:v>2013</c:v>
                  </c:pt>
                  <c:pt idx="1">
                    <c:v>2018</c:v>
                  </c:pt>
                  <c:pt idx="2">
                    <c:v>2013</c:v>
                  </c:pt>
                  <c:pt idx="3">
                    <c:v>2018</c:v>
                  </c:pt>
                  <c:pt idx="4">
                    <c:v>2013</c:v>
                  </c:pt>
                  <c:pt idx="5">
                    <c:v>2018</c:v>
                  </c:pt>
                  <c:pt idx="6">
                    <c:v>2013</c:v>
                  </c:pt>
                  <c:pt idx="7">
                    <c:v>2018</c:v>
                  </c:pt>
                  <c:pt idx="8">
                    <c:v>2013</c:v>
                  </c:pt>
                  <c:pt idx="9">
                    <c:v>2018</c:v>
                  </c:pt>
                  <c:pt idx="10">
                    <c:v>2013</c:v>
                  </c:pt>
                  <c:pt idx="11">
                    <c:v>2018</c:v>
                  </c:pt>
                  <c:pt idx="12">
                    <c:v>2013</c:v>
                  </c:pt>
                  <c:pt idx="13">
                    <c:v>2018</c:v>
                  </c:pt>
                  <c:pt idx="14">
                    <c:v>2013</c:v>
                  </c:pt>
                  <c:pt idx="15">
                    <c:v>2018</c:v>
                  </c:pt>
                  <c:pt idx="16">
                    <c:v>2013</c:v>
                  </c:pt>
                  <c:pt idx="17">
                    <c:v>2018</c:v>
                  </c:pt>
                  <c:pt idx="18">
                    <c:v>2013</c:v>
                  </c:pt>
                  <c:pt idx="19">
                    <c:v>2018</c:v>
                  </c:pt>
                  <c:pt idx="20">
                    <c:v>2013</c:v>
                  </c:pt>
                  <c:pt idx="21">
                    <c:v>2018</c:v>
                  </c:pt>
                  <c:pt idx="22">
                    <c:v>2013</c:v>
                  </c:pt>
                  <c:pt idx="23">
                    <c:v>2018</c:v>
                  </c:pt>
                </c:lvl>
                <c:lvl>
                  <c:pt idx="0">
                    <c:v>Burnley</c:v>
                  </c:pt>
                  <c:pt idx="2">
                    <c:v>Chorley</c:v>
                  </c:pt>
                  <c:pt idx="4">
                    <c:v>Fylde</c:v>
                  </c:pt>
                  <c:pt idx="6">
                    <c:v>Hyndburn</c:v>
                  </c:pt>
                  <c:pt idx="8">
                    <c:v>Lancaster</c:v>
                  </c:pt>
                  <c:pt idx="10">
                    <c:v>South Ribble</c:v>
                  </c:pt>
                  <c:pt idx="12">
                    <c:v>Pendle</c:v>
                  </c:pt>
                  <c:pt idx="14">
                    <c:v>Preston</c:v>
                  </c:pt>
                  <c:pt idx="16">
                    <c:v>Ribble Valley</c:v>
                  </c:pt>
                  <c:pt idx="18">
                    <c:v>Rossendale</c:v>
                  </c:pt>
                  <c:pt idx="20">
                    <c:v>West Lancs</c:v>
                  </c:pt>
                  <c:pt idx="22">
                    <c:v>Wyre</c:v>
                  </c:pt>
                </c:lvl>
              </c:multiLvlStrCache>
            </c:multiLvlStrRef>
          </c:cat>
          <c:val>
            <c:numRef>
              <c:f>'Signals 2018'!$E$42:$E$65</c:f>
              <c:numCache>
                <c:formatCode>General</c:formatCode>
                <c:ptCount val="24"/>
                <c:pt idx="0">
                  <c:v>37</c:v>
                </c:pt>
                <c:pt idx="1">
                  <c:v>52</c:v>
                </c:pt>
                <c:pt idx="2">
                  <c:v>45</c:v>
                </c:pt>
                <c:pt idx="3">
                  <c:v>58</c:v>
                </c:pt>
                <c:pt idx="4">
                  <c:v>21</c:v>
                </c:pt>
                <c:pt idx="5">
                  <c:v>35</c:v>
                </c:pt>
                <c:pt idx="6">
                  <c:v>27</c:v>
                </c:pt>
                <c:pt idx="7">
                  <c:v>45</c:v>
                </c:pt>
                <c:pt idx="8">
                  <c:v>60</c:v>
                </c:pt>
                <c:pt idx="9">
                  <c:v>83</c:v>
                </c:pt>
                <c:pt idx="10">
                  <c:v>37</c:v>
                </c:pt>
                <c:pt idx="11">
                  <c:v>50</c:v>
                </c:pt>
                <c:pt idx="12">
                  <c:v>37</c:v>
                </c:pt>
                <c:pt idx="13">
                  <c:v>51</c:v>
                </c:pt>
                <c:pt idx="14">
                  <c:v>68</c:v>
                </c:pt>
                <c:pt idx="15">
                  <c:v>119</c:v>
                </c:pt>
                <c:pt idx="16">
                  <c:v>9</c:v>
                </c:pt>
                <c:pt idx="17">
                  <c:v>11</c:v>
                </c:pt>
                <c:pt idx="18">
                  <c:v>17</c:v>
                </c:pt>
                <c:pt idx="19">
                  <c:v>25</c:v>
                </c:pt>
                <c:pt idx="20">
                  <c:v>26</c:v>
                </c:pt>
                <c:pt idx="21">
                  <c:v>31</c:v>
                </c:pt>
                <c:pt idx="22">
                  <c:v>28</c:v>
                </c:pt>
                <c:pt idx="23">
                  <c:v>32</c:v>
                </c:pt>
              </c:numCache>
            </c:numRef>
          </c:val>
        </c:ser>
        <c:ser>
          <c:idx val="0"/>
          <c:order val="1"/>
          <c:tx>
            <c:strRef>
              <c:f>'Signals 2018'!$D$41</c:f>
              <c:strCache>
                <c:ptCount val="1"/>
                <c:pt idx="0">
                  <c:v>21+ yr</c:v>
                </c:pt>
              </c:strCache>
            </c:strRef>
          </c:tx>
          <c:spPr>
            <a:solidFill>
              <a:srgbClr val="FF0000"/>
            </a:solidFill>
            <a:ln>
              <a:solidFill>
                <a:schemeClr val="tx1"/>
              </a:solidFill>
            </a:ln>
            <a:effectLst/>
          </c:spPr>
          <c:invertIfNegative val="0"/>
          <c:dPt>
            <c:idx val="0"/>
            <c:invertIfNegative val="0"/>
            <c:bubble3D val="0"/>
            <c:spPr>
              <a:solidFill>
                <a:srgbClr val="FF0000"/>
              </a:solidFill>
              <a:ln>
                <a:solidFill>
                  <a:schemeClr val="tx1"/>
                </a:solidFill>
              </a:ln>
              <a:effectLst/>
            </c:spPr>
          </c:dPt>
          <c:dPt>
            <c:idx val="2"/>
            <c:invertIfNegative val="0"/>
            <c:bubble3D val="0"/>
            <c:spPr>
              <a:solidFill>
                <a:srgbClr val="FF0000"/>
              </a:solidFill>
              <a:ln>
                <a:solidFill>
                  <a:schemeClr val="tx1"/>
                </a:solidFill>
              </a:ln>
              <a:effectLst/>
            </c:spPr>
          </c:dPt>
          <c:dPt>
            <c:idx val="4"/>
            <c:invertIfNegative val="0"/>
            <c:bubble3D val="0"/>
            <c:spPr>
              <a:solidFill>
                <a:srgbClr val="FF0000"/>
              </a:solidFill>
              <a:ln>
                <a:solidFill>
                  <a:schemeClr val="tx1"/>
                </a:solidFill>
              </a:ln>
              <a:effectLst/>
            </c:spPr>
          </c:dPt>
          <c:dPt>
            <c:idx val="6"/>
            <c:invertIfNegative val="0"/>
            <c:bubble3D val="0"/>
            <c:spPr>
              <a:solidFill>
                <a:srgbClr val="FF0000"/>
              </a:solidFill>
              <a:ln>
                <a:solidFill>
                  <a:schemeClr val="tx1"/>
                </a:solidFill>
              </a:ln>
              <a:effectLst/>
            </c:spPr>
          </c:dPt>
          <c:dPt>
            <c:idx val="8"/>
            <c:invertIfNegative val="0"/>
            <c:bubble3D val="0"/>
            <c:spPr>
              <a:solidFill>
                <a:srgbClr val="FF0000"/>
              </a:solidFill>
              <a:ln>
                <a:solidFill>
                  <a:schemeClr val="tx1"/>
                </a:solidFill>
              </a:ln>
              <a:effectLst/>
            </c:spPr>
          </c:dPt>
          <c:dPt>
            <c:idx val="10"/>
            <c:invertIfNegative val="0"/>
            <c:bubble3D val="0"/>
            <c:spPr>
              <a:solidFill>
                <a:srgbClr val="FF0000"/>
              </a:solidFill>
              <a:ln>
                <a:solidFill>
                  <a:schemeClr val="tx1"/>
                </a:solidFill>
              </a:ln>
              <a:effectLst/>
            </c:spPr>
          </c:dPt>
          <c:dPt>
            <c:idx val="12"/>
            <c:invertIfNegative val="0"/>
            <c:bubble3D val="0"/>
            <c:spPr>
              <a:solidFill>
                <a:srgbClr val="FF0000"/>
              </a:solidFill>
              <a:ln>
                <a:solidFill>
                  <a:schemeClr val="tx1"/>
                </a:solidFill>
              </a:ln>
              <a:effectLst/>
            </c:spPr>
          </c:dPt>
          <c:dPt>
            <c:idx val="14"/>
            <c:invertIfNegative val="0"/>
            <c:bubble3D val="0"/>
            <c:spPr>
              <a:solidFill>
                <a:srgbClr val="FF0000"/>
              </a:solidFill>
              <a:ln>
                <a:solidFill>
                  <a:schemeClr val="tx1"/>
                </a:solidFill>
              </a:ln>
              <a:effectLst/>
            </c:spPr>
          </c:dPt>
          <c:dPt>
            <c:idx val="16"/>
            <c:invertIfNegative val="0"/>
            <c:bubble3D val="0"/>
            <c:spPr>
              <a:solidFill>
                <a:srgbClr val="FF0000"/>
              </a:solidFill>
              <a:ln>
                <a:solidFill>
                  <a:schemeClr val="tx1"/>
                </a:solidFill>
              </a:ln>
              <a:effectLst/>
            </c:spPr>
          </c:dPt>
          <c:dPt>
            <c:idx val="18"/>
            <c:invertIfNegative val="0"/>
            <c:bubble3D val="0"/>
            <c:spPr>
              <a:solidFill>
                <a:srgbClr val="FF0000"/>
              </a:solidFill>
              <a:ln>
                <a:solidFill>
                  <a:schemeClr val="tx1"/>
                </a:solidFill>
              </a:ln>
              <a:effectLst/>
            </c:spPr>
          </c:dPt>
          <c:dPt>
            <c:idx val="20"/>
            <c:invertIfNegative val="0"/>
            <c:bubble3D val="0"/>
            <c:spPr>
              <a:solidFill>
                <a:srgbClr val="FF0000"/>
              </a:solidFill>
              <a:ln>
                <a:solidFill>
                  <a:schemeClr val="tx1"/>
                </a:solidFill>
              </a:ln>
              <a:effectLst/>
            </c:spPr>
          </c:dPt>
          <c:dPt>
            <c:idx val="22"/>
            <c:invertIfNegative val="0"/>
            <c:bubble3D val="0"/>
            <c:spPr>
              <a:solidFill>
                <a:srgbClr val="FF0000"/>
              </a:solidFill>
              <a:ln>
                <a:solidFill>
                  <a:schemeClr val="tx1"/>
                </a:solidFill>
              </a:ln>
              <a:effectLst/>
            </c:spPr>
          </c:dPt>
          <c:cat>
            <c:multiLvlStrRef>
              <c:f>'Signals 2018'!$B$42:$C$65</c:f>
              <c:multiLvlStrCache>
                <c:ptCount val="24"/>
                <c:lvl>
                  <c:pt idx="0">
                    <c:v>2013</c:v>
                  </c:pt>
                  <c:pt idx="1">
                    <c:v>2018</c:v>
                  </c:pt>
                  <c:pt idx="2">
                    <c:v>2013</c:v>
                  </c:pt>
                  <c:pt idx="3">
                    <c:v>2018</c:v>
                  </c:pt>
                  <c:pt idx="4">
                    <c:v>2013</c:v>
                  </c:pt>
                  <c:pt idx="5">
                    <c:v>2018</c:v>
                  </c:pt>
                  <c:pt idx="6">
                    <c:v>2013</c:v>
                  </c:pt>
                  <c:pt idx="7">
                    <c:v>2018</c:v>
                  </c:pt>
                  <c:pt idx="8">
                    <c:v>2013</c:v>
                  </c:pt>
                  <c:pt idx="9">
                    <c:v>2018</c:v>
                  </c:pt>
                  <c:pt idx="10">
                    <c:v>2013</c:v>
                  </c:pt>
                  <c:pt idx="11">
                    <c:v>2018</c:v>
                  </c:pt>
                  <c:pt idx="12">
                    <c:v>2013</c:v>
                  </c:pt>
                  <c:pt idx="13">
                    <c:v>2018</c:v>
                  </c:pt>
                  <c:pt idx="14">
                    <c:v>2013</c:v>
                  </c:pt>
                  <c:pt idx="15">
                    <c:v>2018</c:v>
                  </c:pt>
                  <c:pt idx="16">
                    <c:v>2013</c:v>
                  </c:pt>
                  <c:pt idx="17">
                    <c:v>2018</c:v>
                  </c:pt>
                  <c:pt idx="18">
                    <c:v>2013</c:v>
                  </c:pt>
                  <c:pt idx="19">
                    <c:v>2018</c:v>
                  </c:pt>
                  <c:pt idx="20">
                    <c:v>2013</c:v>
                  </c:pt>
                  <c:pt idx="21">
                    <c:v>2018</c:v>
                  </c:pt>
                  <c:pt idx="22">
                    <c:v>2013</c:v>
                  </c:pt>
                  <c:pt idx="23">
                    <c:v>2018</c:v>
                  </c:pt>
                </c:lvl>
                <c:lvl>
                  <c:pt idx="0">
                    <c:v>Burnley</c:v>
                  </c:pt>
                  <c:pt idx="2">
                    <c:v>Chorley</c:v>
                  </c:pt>
                  <c:pt idx="4">
                    <c:v>Fylde</c:v>
                  </c:pt>
                  <c:pt idx="6">
                    <c:v>Hyndburn</c:v>
                  </c:pt>
                  <c:pt idx="8">
                    <c:v>Lancaster</c:v>
                  </c:pt>
                  <c:pt idx="10">
                    <c:v>South Ribble</c:v>
                  </c:pt>
                  <c:pt idx="12">
                    <c:v>Pendle</c:v>
                  </c:pt>
                  <c:pt idx="14">
                    <c:v>Preston</c:v>
                  </c:pt>
                  <c:pt idx="16">
                    <c:v>Ribble Valley</c:v>
                  </c:pt>
                  <c:pt idx="18">
                    <c:v>Rossendale</c:v>
                  </c:pt>
                  <c:pt idx="20">
                    <c:v>West Lancs</c:v>
                  </c:pt>
                  <c:pt idx="22">
                    <c:v>Wyre</c:v>
                  </c:pt>
                </c:lvl>
              </c:multiLvlStrCache>
            </c:multiLvlStrRef>
          </c:cat>
          <c:val>
            <c:numRef>
              <c:f>'Signals 2018'!$D$42:$D$65</c:f>
              <c:numCache>
                <c:formatCode>General</c:formatCode>
                <c:ptCount val="24"/>
                <c:pt idx="0">
                  <c:v>17</c:v>
                </c:pt>
                <c:pt idx="1">
                  <c:v>9</c:v>
                </c:pt>
                <c:pt idx="2">
                  <c:v>14</c:v>
                </c:pt>
                <c:pt idx="3">
                  <c:v>6</c:v>
                </c:pt>
                <c:pt idx="4">
                  <c:v>16</c:v>
                </c:pt>
                <c:pt idx="5">
                  <c:v>8</c:v>
                </c:pt>
                <c:pt idx="6">
                  <c:v>20</c:v>
                </c:pt>
                <c:pt idx="7">
                  <c:v>11</c:v>
                </c:pt>
                <c:pt idx="8">
                  <c:v>26</c:v>
                </c:pt>
                <c:pt idx="9">
                  <c:v>9</c:v>
                </c:pt>
                <c:pt idx="10">
                  <c:v>14</c:v>
                </c:pt>
                <c:pt idx="11">
                  <c:v>18</c:v>
                </c:pt>
                <c:pt idx="12">
                  <c:v>14</c:v>
                </c:pt>
                <c:pt idx="13">
                  <c:v>9</c:v>
                </c:pt>
                <c:pt idx="14">
                  <c:v>62</c:v>
                </c:pt>
                <c:pt idx="15">
                  <c:v>17</c:v>
                </c:pt>
                <c:pt idx="16">
                  <c:v>2</c:v>
                </c:pt>
                <c:pt idx="17">
                  <c:v>3</c:v>
                </c:pt>
                <c:pt idx="18">
                  <c:v>8</c:v>
                </c:pt>
                <c:pt idx="19">
                  <c:v>3</c:v>
                </c:pt>
                <c:pt idx="20">
                  <c:v>6</c:v>
                </c:pt>
                <c:pt idx="21">
                  <c:v>1</c:v>
                </c:pt>
                <c:pt idx="22">
                  <c:v>5</c:v>
                </c:pt>
                <c:pt idx="23">
                  <c:v>1</c:v>
                </c:pt>
              </c:numCache>
            </c:numRef>
          </c:val>
        </c:ser>
        <c:dLbls>
          <c:showLegendKey val="0"/>
          <c:showVal val="0"/>
          <c:showCatName val="0"/>
          <c:showSerName val="0"/>
          <c:showPercent val="0"/>
          <c:showBubbleSize val="0"/>
        </c:dLbls>
        <c:gapWidth val="42"/>
        <c:overlap val="100"/>
        <c:axId val="509463680"/>
        <c:axId val="509460152"/>
      </c:barChart>
      <c:catAx>
        <c:axId val="5094636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460152"/>
        <c:crosses val="autoZero"/>
        <c:auto val="1"/>
        <c:lblAlgn val="ctr"/>
        <c:lblOffset val="100"/>
        <c:noMultiLvlLbl val="0"/>
      </c:catAx>
      <c:valAx>
        <c:axId val="509460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463680"/>
        <c:crosses val="autoZero"/>
        <c:crossBetween val="between"/>
      </c:valAx>
      <c:spPr>
        <a:noFill/>
        <a:ln>
          <a:solidFill>
            <a:schemeClr val="tx1"/>
          </a:solidFill>
        </a:ln>
        <a:effectLst/>
      </c:spPr>
    </c:plotArea>
    <c:legend>
      <c:legendPos val="b"/>
      <c:layout>
        <c:manualLayout>
          <c:xMode val="edge"/>
          <c:yMode val="edge"/>
          <c:x val="5.6006373799615206E-2"/>
          <c:y val="0.18113371245261004"/>
          <c:w val="0.12193041935420075"/>
          <c:h val="0.105903324584426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Km Roads RED or AMBER Actual  - 2009 to 2018</a:t>
            </a:r>
          </a:p>
        </c:rich>
      </c:tx>
      <c:overlay val="0"/>
    </c:title>
    <c:autoTitleDeleted val="0"/>
    <c:plotArea>
      <c:layout>
        <c:manualLayout>
          <c:layoutTarget val="inner"/>
          <c:xMode val="edge"/>
          <c:yMode val="edge"/>
          <c:x val="6.3867698449096649E-2"/>
          <c:y val="8.7124434508500506E-2"/>
          <c:w val="0.8928349040455259"/>
          <c:h val="0.84861957424919876"/>
        </c:manualLayout>
      </c:layout>
      <c:lineChart>
        <c:grouping val="standard"/>
        <c:varyColors val="0"/>
        <c:ser>
          <c:idx val="8"/>
          <c:order val="0"/>
          <c:tx>
            <c:v>Lancaster</c:v>
          </c:tx>
          <c:spPr>
            <a:ln w="50800">
              <a:solidFill>
                <a:schemeClr val="tx1"/>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Graphical'!$AJ$13:$AW$13</c:f>
              <c:numCache>
                <c:formatCode>0.00</c:formatCode>
                <c:ptCount val="10"/>
                <c:pt idx="0">
                  <c:v>128.445705</c:v>
                </c:pt>
                <c:pt idx="1">
                  <c:v>135.28500700000001</c:v>
                </c:pt>
                <c:pt idx="2">
                  <c:v>136.22573199999999</c:v>
                </c:pt>
                <c:pt idx="3">
                  <c:v>148.44394800000001</c:v>
                </c:pt>
                <c:pt idx="4">
                  <c:v>189.16784000000001</c:v>
                </c:pt>
                <c:pt idx="5">
                  <c:v>214.28272399999997</c:v>
                </c:pt>
                <c:pt idx="6">
                  <c:v>160.6834394</c:v>
                </c:pt>
                <c:pt idx="7">
                  <c:v>139.93665350000001</c:v>
                </c:pt>
                <c:pt idx="8">
                  <c:v>154.32539699999998</c:v>
                </c:pt>
                <c:pt idx="9">
                  <c:v>150.324927</c:v>
                </c:pt>
              </c:numCache>
            </c:numRef>
          </c:val>
          <c:smooth val="1"/>
        </c:ser>
        <c:ser>
          <c:idx val="14"/>
          <c:order val="1"/>
          <c:tx>
            <c:v>Ribble Valley</c:v>
          </c:tx>
          <c:spPr>
            <a:ln w="50800" cmpd="dbl">
              <a:solidFill>
                <a:schemeClr val="accent1"/>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Graphical'!$AJ$19:$AW$19</c:f>
              <c:numCache>
                <c:formatCode>0.00</c:formatCode>
                <c:ptCount val="10"/>
                <c:pt idx="0">
                  <c:v>118.569209</c:v>
                </c:pt>
                <c:pt idx="1">
                  <c:v>131.33762099999998</c:v>
                </c:pt>
                <c:pt idx="2">
                  <c:v>139.45877299999998</c:v>
                </c:pt>
                <c:pt idx="3">
                  <c:v>154.50298699999999</c:v>
                </c:pt>
                <c:pt idx="4">
                  <c:v>173.68521899999996</c:v>
                </c:pt>
                <c:pt idx="5">
                  <c:v>180.21344999999999</c:v>
                </c:pt>
                <c:pt idx="6">
                  <c:v>149.3980545</c:v>
                </c:pt>
                <c:pt idx="7">
                  <c:v>137.55703449999999</c:v>
                </c:pt>
                <c:pt idx="8">
                  <c:v>140.61542299999999</c:v>
                </c:pt>
                <c:pt idx="9">
                  <c:v>125.13554499999998</c:v>
                </c:pt>
              </c:numCache>
            </c:numRef>
          </c:val>
          <c:smooth val="1"/>
        </c:ser>
        <c:ser>
          <c:idx val="20"/>
          <c:order val="2"/>
          <c:tx>
            <c:v>West Lanc</c:v>
          </c:tx>
          <c:spPr>
            <a:ln w="50800">
              <a:solidFill>
                <a:schemeClr val="accent6">
                  <a:lumMod val="60000"/>
                  <a:lumOff val="40000"/>
                </a:schemeClr>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Graphical'!$AJ$25:$AW$25</c:f>
              <c:numCache>
                <c:formatCode>0.00</c:formatCode>
                <c:ptCount val="10"/>
                <c:pt idx="0">
                  <c:v>83.423194999999993</c:v>
                </c:pt>
                <c:pt idx="1">
                  <c:v>86.347132000000002</c:v>
                </c:pt>
                <c:pt idx="2">
                  <c:v>94.212872000000004</c:v>
                </c:pt>
                <c:pt idx="3">
                  <c:v>105.250984</c:v>
                </c:pt>
                <c:pt idx="4">
                  <c:v>145.388327</c:v>
                </c:pt>
                <c:pt idx="5">
                  <c:v>162.565337</c:v>
                </c:pt>
                <c:pt idx="6">
                  <c:v>115.0212279</c:v>
                </c:pt>
                <c:pt idx="7">
                  <c:v>98.965460500000006</c:v>
                </c:pt>
                <c:pt idx="8">
                  <c:v>98.011478000000011</c:v>
                </c:pt>
                <c:pt idx="9">
                  <c:v>92.550520000000006</c:v>
                </c:pt>
              </c:numCache>
            </c:numRef>
          </c:val>
          <c:smooth val="1"/>
        </c:ser>
        <c:ser>
          <c:idx val="22"/>
          <c:order val="3"/>
          <c:tx>
            <c:v>Wyre</c:v>
          </c:tx>
          <c:spPr>
            <a:ln w="50800">
              <a:solidFill>
                <a:schemeClr val="accent3"/>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Graphical'!$AJ$27:$AW$27</c:f>
              <c:numCache>
                <c:formatCode>0.00</c:formatCode>
                <c:ptCount val="10"/>
                <c:pt idx="0">
                  <c:v>79.092300999999992</c:v>
                </c:pt>
                <c:pt idx="1">
                  <c:v>81.167719000000005</c:v>
                </c:pt>
                <c:pt idx="2">
                  <c:v>80.518788999999998</c:v>
                </c:pt>
                <c:pt idx="3">
                  <c:v>89.217506</c:v>
                </c:pt>
                <c:pt idx="4">
                  <c:v>116.78088100000001</c:v>
                </c:pt>
                <c:pt idx="5">
                  <c:v>139.80315999999999</c:v>
                </c:pt>
                <c:pt idx="6">
                  <c:v>109.55388129999999</c:v>
                </c:pt>
                <c:pt idx="7">
                  <c:v>81.5118978</c:v>
                </c:pt>
                <c:pt idx="8">
                  <c:v>91.052031999999997</c:v>
                </c:pt>
                <c:pt idx="9">
                  <c:v>88.637368999999993</c:v>
                </c:pt>
              </c:numCache>
            </c:numRef>
          </c:val>
          <c:smooth val="1"/>
        </c:ser>
        <c:ser>
          <c:idx val="2"/>
          <c:order val="4"/>
          <c:tx>
            <c:v>Chorley</c:v>
          </c:tx>
          <c:spPr>
            <a:ln w="50800" cmpd="dbl">
              <a:solidFill>
                <a:schemeClr val="accent6"/>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Graphical'!$AJ$7:$AW$7</c:f>
              <c:numCache>
                <c:formatCode>0.00</c:formatCode>
                <c:ptCount val="10"/>
                <c:pt idx="0">
                  <c:v>53.958556000000002</c:v>
                </c:pt>
                <c:pt idx="1">
                  <c:v>55.027715000000001</c:v>
                </c:pt>
                <c:pt idx="2">
                  <c:v>58.404657000000007</c:v>
                </c:pt>
                <c:pt idx="3">
                  <c:v>58.648823000000007</c:v>
                </c:pt>
                <c:pt idx="4">
                  <c:v>95.285589000000016</c:v>
                </c:pt>
                <c:pt idx="5">
                  <c:v>106.384783</c:v>
                </c:pt>
                <c:pt idx="6">
                  <c:v>72.5144023</c:v>
                </c:pt>
                <c:pt idx="7">
                  <c:v>56.138536200000004</c:v>
                </c:pt>
                <c:pt idx="8">
                  <c:v>61.788929000000003</c:v>
                </c:pt>
                <c:pt idx="9">
                  <c:v>60.836761000000003</c:v>
                </c:pt>
              </c:numCache>
            </c:numRef>
          </c:val>
          <c:smooth val="1"/>
        </c:ser>
        <c:ser>
          <c:idx val="25"/>
          <c:order val="5"/>
          <c:tx>
            <c:v>Average</c:v>
          </c:tx>
          <c:spPr>
            <a:ln w="50800">
              <a:solidFill>
                <a:srgbClr val="040AFC"/>
              </a:solidFill>
              <a:prstDash val="dashDot"/>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Graphical'!$AJ$30:$AW$30</c:f>
              <c:numCache>
                <c:formatCode>0.00</c:formatCode>
                <c:ptCount val="10"/>
                <c:pt idx="0">
                  <c:v>57.454529666666673</c:v>
                </c:pt>
                <c:pt idx="1">
                  <c:v>60.586690000000011</c:v>
                </c:pt>
                <c:pt idx="2">
                  <c:v>63.657470499999988</c:v>
                </c:pt>
                <c:pt idx="3">
                  <c:v>69.334589083333327</c:v>
                </c:pt>
                <c:pt idx="4">
                  <c:v>88.27284933333334</c:v>
                </c:pt>
                <c:pt idx="5">
                  <c:v>98.26367841666665</c:v>
                </c:pt>
                <c:pt idx="6">
                  <c:v>76.608891091666649</c:v>
                </c:pt>
                <c:pt idx="7">
                  <c:v>63.367955725000002</c:v>
                </c:pt>
                <c:pt idx="8">
                  <c:v>66.834221999999997</c:v>
                </c:pt>
                <c:pt idx="9">
                  <c:v>63.519678583333352</c:v>
                </c:pt>
              </c:numCache>
            </c:numRef>
          </c:val>
          <c:smooth val="1"/>
        </c:ser>
        <c:ser>
          <c:idx val="12"/>
          <c:order val="6"/>
          <c:tx>
            <c:v>Preston</c:v>
          </c:tx>
          <c:spPr>
            <a:ln w="50800">
              <a:solidFill>
                <a:srgbClr val="FF0066"/>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Graphical'!$AJ$17:$AW$17</c:f>
              <c:numCache>
                <c:formatCode>0.00</c:formatCode>
                <c:ptCount val="10"/>
                <c:pt idx="0">
                  <c:v>46.084898000000003</c:v>
                </c:pt>
                <c:pt idx="1">
                  <c:v>50.238518999999997</c:v>
                </c:pt>
                <c:pt idx="2">
                  <c:v>57.649270999999999</c:v>
                </c:pt>
                <c:pt idx="3">
                  <c:v>60.882168</c:v>
                </c:pt>
                <c:pt idx="4">
                  <c:v>78.402876000000006</c:v>
                </c:pt>
                <c:pt idx="5">
                  <c:v>85.689993000000001</c:v>
                </c:pt>
                <c:pt idx="6">
                  <c:v>65.064676399999996</c:v>
                </c:pt>
                <c:pt idx="7">
                  <c:v>51.696400500000003</c:v>
                </c:pt>
                <c:pt idx="8">
                  <c:v>57.601548000000001</c:v>
                </c:pt>
                <c:pt idx="9">
                  <c:v>57.08182</c:v>
                </c:pt>
              </c:numCache>
            </c:numRef>
          </c:val>
          <c:smooth val="1"/>
        </c:ser>
        <c:ser>
          <c:idx val="4"/>
          <c:order val="7"/>
          <c:tx>
            <c:v>Fylde</c:v>
          </c:tx>
          <c:spPr>
            <a:ln w="50800">
              <a:solidFill>
                <a:schemeClr val="accent6">
                  <a:lumMod val="50000"/>
                </a:schemeClr>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Graphical'!$AJ$9:$AW$9</c:f>
              <c:numCache>
                <c:formatCode>0.00</c:formatCode>
                <c:ptCount val="10"/>
                <c:pt idx="0">
                  <c:v>41.287015000000011</c:v>
                </c:pt>
                <c:pt idx="1">
                  <c:v>41.342312</c:v>
                </c:pt>
                <c:pt idx="2">
                  <c:v>41.970625999999996</c:v>
                </c:pt>
                <c:pt idx="3">
                  <c:v>47.531814999999995</c:v>
                </c:pt>
                <c:pt idx="4">
                  <c:v>67.58767499999999</c:v>
                </c:pt>
                <c:pt idx="5">
                  <c:v>71.356134999999995</c:v>
                </c:pt>
                <c:pt idx="6">
                  <c:v>55.459793500000004</c:v>
                </c:pt>
                <c:pt idx="7">
                  <c:v>41.930480299999999</c:v>
                </c:pt>
                <c:pt idx="8">
                  <c:v>46.623128999999999</c:v>
                </c:pt>
                <c:pt idx="9">
                  <c:v>47.326093999999998</c:v>
                </c:pt>
              </c:numCache>
            </c:numRef>
          </c:val>
          <c:smooth val="1"/>
        </c:ser>
        <c:ser>
          <c:idx val="18"/>
          <c:order val="8"/>
          <c:tx>
            <c:v>South Ribble</c:v>
          </c:tx>
          <c:spPr>
            <a:ln w="50800">
              <a:solidFill>
                <a:srgbClr val="00CCFF"/>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Graphical'!$AJ$23:$AW$23</c:f>
              <c:numCache>
                <c:formatCode>0.00</c:formatCode>
                <c:ptCount val="10"/>
                <c:pt idx="0">
                  <c:v>32.939852000000002</c:v>
                </c:pt>
                <c:pt idx="1">
                  <c:v>32.756064000000002</c:v>
                </c:pt>
                <c:pt idx="2">
                  <c:v>33.512339999999995</c:v>
                </c:pt>
                <c:pt idx="3">
                  <c:v>35.007086000000001</c:v>
                </c:pt>
                <c:pt idx="4">
                  <c:v>54.879519999999999</c:v>
                </c:pt>
                <c:pt idx="5">
                  <c:v>65.146843000000004</c:v>
                </c:pt>
                <c:pt idx="6">
                  <c:v>45.620388900000002</c:v>
                </c:pt>
                <c:pt idx="7">
                  <c:v>34.158798099999998</c:v>
                </c:pt>
                <c:pt idx="8">
                  <c:v>37.090049</c:v>
                </c:pt>
                <c:pt idx="9">
                  <c:v>35.854313000000005</c:v>
                </c:pt>
              </c:numCache>
            </c:numRef>
          </c:val>
          <c:smooth val="1"/>
        </c:ser>
        <c:ser>
          <c:idx val="10"/>
          <c:order val="9"/>
          <c:tx>
            <c:v>Pendle</c:v>
          </c:tx>
          <c:spPr>
            <a:ln w="50800">
              <a:solidFill>
                <a:srgbClr val="00FF00"/>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Graphical'!$AJ$15:$AW$15</c:f>
              <c:numCache>
                <c:formatCode>0.00</c:formatCode>
                <c:ptCount val="10"/>
                <c:pt idx="0">
                  <c:v>38.903645999999995</c:v>
                </c:pt>
                <c:pt idx="1">
                  <c:v>41.399222999999999</c:v>
                </c:pt>
                <c:pt idx="2">
                  <c:v>46.222461999999993</c:v>
                </c:pt>
                <c:pt idx="3">
                  <c:v>52.744162999999993</c:v>
                </c:pt>
                <c:pt idx="4">
                  <c:v>55.905370999999995</c:v>
                </c:pt>
                <c:pt idx="5">
                  <c:v>55.327674999999992</c:v>
                </c:pt>
                <c:pt idx="6">
                  <c:v>52.276755999999999</c:v>
                </c:pt>
                <c:pt idx="7">
                  <c:v>45.906410799999996</c:v>
                </c:pt>
                <c:pt idx="8">
                  <c:v>46.151543000000004</c:v>
                </c:pt>
                <c:pt idx="9">
                  <c:v>42.054927999999997</c:v>
                </c:pt>
              </c:numCache>
            </c:numRef>
          </c:val>
          <c:smooth val="1"/>
        </c:ser>
        <c:ser>
          <c:idx val="16"/>
          <c:order val="10"/>
          <c:tx>
            <c:v>Rossendale</c:v>
          </c:tx>
          <c:spPr>
            <a:ln w="50800" cmpd="dbl">
              <a:solidFill>
                <a:schemeClr val="tx1"/>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Graphical'!$AJ$21:$AW$21</c:f>
              <c:numCache>
                <c:formatCode>0.00</c:formatCode>
                <c:ptCount val="10"/>
                <c:pt idx="0">
                  <c:v>28.407956000000006</c:v>
                </c:pt>
                <c:pt idx="1">
                  <c:v>30.210939</c:v>
                </c:pt>
                <c:pt idx="2">
                  <c:v>30.827686000000003</c:v>
                </c:pt>
                <c:pt idx="3">
                  <c:v>31.271201000000001</c:v>
                </c:pt>
                <c:pt idx="4">
                  <c:v>30.672263999999998</c:v>
                </c:pt>
                <c:pt idx="5">
                  <c:v>36.586393000000001</c:v>
                </c:pt>
                <c:pt idx="6">
                  <c:v>33.551076999999999</c:v>
                </c:pt>
                <c:pt idx="7">
                  <c:v>25.788564000000001</c:v>
                </c:pt>
                <c:pt idx="8">
                  <c:v>22.737758000000003</c:v>
                </c:pt>
                <c:pt idx="9">
                  <c:v>20.605124000000004</c:v>
                </c:pt>
              </c:numCache>
            </c:numRef>
          </c:val>
          <c:smooth val="1"/>
        </c:ser>
        <c:ser>
          <c:idx val="0"/>
          <c:order val="11"/>
          <c:tx>
            <c:v>Burnley</c:v>
          </c:tx>
          <c:spPr>
            <a:ln w="50800">
              <a:solidFill>
                <a:srgbClr val="57556B"/>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Graphical'!$AJ$5:$AW$5</c:f>
              <c:numCache>
                <c:formatCode>0.00</c:formatCode>
                <c:ptCount val="10"/>
                <c:pt idx="0">
                  <c:v>22.183067000000005</c:v>
                </c:pt>
                <c:pt idx="1">
                  <c:v>23.557903</c:v>
                </c:pt>
                <c:pt idx="2">
                  <c:v>25.889916000000003</c:v>
                </c:pt>
                <c:pt idx="3">
                  <c:v>30.269212</c:v>
                </c:pt>
                <c:pt idx="4">
                  <c:v>30.191158999999999</c:v>
                </c:pt>
                <c:pt idx="5">
                  <c:v>31.93561</c:v>
                </c:pt>
                <c:pt idx="6">
                  <c:v>33.078344300000005</c:v>
                </c:pt>
                <c:pt idx="7">
                  <c:v>29.771693500000001</c:v>
                </c:pt>
                <c:pt idx="8">
                  <c:v>30.344951000000005</c:v>
                </c:pt>
                <c:pt idx="9">
                  <c:v>26.463923000000005</c:v>
                </c:pt>
              </c:numCache>
            </c:numRef>
          </c:val>
          <c:smooth val="1"/>
        </c:ser>
        <c:ser>
          <c:idx val="6"/>
          <c:order val="12"/>
          <c:tx>
            <c:v>Hyndburn</c:v>
          </c:tx>
          <c:spPr>
            <a:ln w="50800">
              <a:solidFill>
                <a:srgbClr val="FFFF00"/>
              </a:solidFill>
            </a:ln>
          </c:spPr>
          <c:marker>
            <c:symbol val="none"/>
          </c:marker>
          <c:cat>
            <c:numRef>
              <c:f>'ABC Graphical'!$AJ$4:$AW$4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'ABC Graphical'!$AJ$11:$AW$11</c:f>
              <c:numCache>
                <c:formatCode>0.00</c:formatCode>
                <c:ptCount val="10"/>
                <c:pt idx="0">
                  <c:v>16.158955999999996</c:v>
                </c:pt>
                <c:pt idx="1">
                  <c:v>18.370125999999999</c:v>
                </c:pt>
                <c:pt idx="2">
                  <c:v>18.996521999999999</c:v>
                </c:pt>
                <c:pt idx="3">
                  <c:v>18.245176000000001</c:v>
                </c:pt>
                <c:pt idx="4">
                  <c:v>21.327470999999999</c:v>
                </c:pt>
                <c:pt idx="5">
                  <c:v>29.872038</c:v>
                </c:pt>
                <c:pt idx="6">
                  <c:v>27.084651599999997</c:v>
                </c:pt>
                <c:pt idx="7">
                  <c:v>17.053539000000001</c:v>
                </c:pt>
                <c:pt idx="8">
                  <c:v>15.668426999999999</c:v>
                </c:pt>
                <c:pt idx="9">
                  <c:v>15.364818999999999</c:v>
                </c:pt>
              </c:numCache>
            </c:numRef>
          </c:val>
          <c:smooth val="1"/>
        </c:ser>
        <c:dLbls>
          <c:showLegendKey val="0"/>
          <c:showVal val="0"/>
          <c:showCatName val="0"/>
          <c:showSerName val="0"/>
          <c:showPercent val="0"/>
          <c:showBubbleSize val="0"/>
        </c:dLbls>
        <c:smooth val="0"/>
        <c:axId val="571939144"/>
        <c:axId val="571937968"/>
        <c:extLst>
          <c:ext xmlns:c15="http://schemas.microsoft.com/office/drawing/2012/chart" uri="{02D57815-91ED-43cb-92C2-25804820EDAC}">
            <c15:filteredLineSeries>
              <c15:ser>
                <c:idx val="1"/>
                <c:order val="13"/>
                <c:tx>
                  <c:v>Burnley Trend</c:v>
                </c:tx>
                <c:spPr>
                  <a:ln>
                    <a:solidFill>
                      <a:srgbClr val="57556B"/>
                    </a:solidFill>
                    <a:prstDash val="dash"/>
                  </a:ln>
                </c:spPr>
                <c:marker>
                  <c:symbol val="none"/>
                </c:marker>
                <c:cat>
                  <c:numRef>
                    <c:extLst>
                      <c:ex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c:ext uri="{02D57815-91ED-43cb-92C2-25804820EDAC}">
                        <c15:formulaRef>
                          <c15:sqref>'ABC Graphical'!$AJ$6:$AW$6</c15:sqref>
                        </c15:formulaRef>
                      </c:ext>
                    </c:extLst>
                    <c:numCache>
                      <c:formatCode>General</c:formatCode>
                      <c:ptCount val="10"/>
                    </c:numCache>
                  </c:numRef>
                </c:val>
                <c:smooth val="1"/>
              </c15:ser>
            </c15:filteredLineSeries>
            <c15:filteredLineSeries>
              <c15:ser>
                <c:idx val="3"/>
                <c:order val="14"/>
                <c:tx>
                  <c:v>Chorley Trend</c:v>
                </c:tx>
                <c:spPr>
                  <a:ln>
                    <a:solidFill>
                      <a:schemeClr val="accent6"/>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Graphical'!$AJ$8:$AW$8</c15:sqref>
                        </c15:formulaRef>
                      </c:ext>
                    </c:extLst>
                    <c:numCache>
                      <c:formatCode>General</c:formatCode>
                      <c:ptCount val="10"/>
                    </c:numCache>
                  </c:numRef>
                </c:val>
                <c:smooth val="0"/>
              </c15:ser>
            </c15:filteredLineSeries>
            <c15:filteredLineSeries>
              <c15:ser>
                <c:idx val="5"/>
                <c:order val="15"/>
                <c:tx>
                  <c:v>Fylde Trend</c:v>
                </c:tx>
                <c:spPr>
                  <a:ln>
                    <a:solidFill>
                      <a:schemeClr val="accent6">
                        <a:lumMod val="50000"/>
                      </a:schemeClr>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Graphical'!$AJ$10:$AW$10</c15:sqref>
                        </c15:formulaRef>
                      </c:ext>
                    </c:extLst>
                    <c:numCache>
                      <c:formatCode>General</c:formatCode>
                      <c:ptCount val="10"/>
                    </c:numCache>
                  </c:numRef>
                </c:val>
                <c:smooth val="1"/>
              </c15:ser>
            </c15:filteredLineSeries>
            <c15:filteredLineSeries>
              <c15:ser>
                <c:idx val="7"/>
                <c:order val="16"/>
                <c:tx>
                  <c:v>Hyndburn trend</c:v>
                </c:tx>
                <c:spPr>
                  <a:ln>
                    <a:solidFill>
                      <a:srgbClr val="FFC000"/>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Graphical'!$AJ$12:$AW$12</c15:sqref>
                        </c15:formulaRef>
                      </c:ext>
                    </c:extLst>
                    <c:numCache>
                      <c:formatCode>General</c:formatCode>
                      <c:ptCount val="10"/>
                    </c:numCache>
                  </c:numRef>
                </c:val>
                <c:smooth val="1"/>
              </c15:ser>
            </c15:filteredLineSeries>
            <c15:filteredLineSeries>
              <c15:ser>
                <c:idx val="9"/>
                <c:order val="17"/>
                <c:tx>
                  <c:v>Lancaster Trend</c:v>
                </c:tx>
                <c:spPr>
                  <a:ln>
                    <a:solidFill>
                      <a:schemeClr val="tx1"/>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Graphical'!$AJ$14:$AW$14</c15:sqref>
                        </c15:formulaRef>
                      </c:ext>
                    </c:extLst>
                    <c:numCache>
                      <c:formatCode>General</c:formatCode>
                      <c:ptCount val="10"/>
                    </c:numCache>
                  </c:numRef>
                </c:val>
                <c:smooth val="1"/>
              </c15:ser>
            </c15:filteredLineSeries>
            <c15:filteredLineSeries>
              <c15:ser>
                <c:idx val="11"/>
                <c:order val="18"/>
                <c:tx>
                  <c:v>Pendle Trend</c:v>
                </c:tx>
                <c:spPr>
                  <a:ln>
                    <a:solidFill>
                      <a:srgbClr val="00FF00"/>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Graphical'!$AJ$16:$AW$16</c15:sqref>
                        </c15:formulaRef>
                      </c:ext>
                    </c:extLst>
                    <c:numCache>
                      <c:formatCode>General</c:formatCode>
                      <c:ptCount val="10"/>
                    </c:numCache>
                  </c:numRef>
                </c:val>
                <c:smooth val="1"/>
              </c15:ser>
            </c15:filteredLineSeries>
            <c15:filteredLineSeries>
              <c15:ser>
                <c:idx val="13"/>
                <c:order val="19"/>
                <c:tx>
                  <c:v>Preston Trend</c:v>
                </c:tx>
                <c:spPr>
                  <a:ln>
                    <a:solidFill>
                      <a:srgbClr val="CC6600"/>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Graphical'!$AJ$18:$AW$18</c15:sqref>
                        </c15:formulaRef>
                      </c:ext>
                    </c:extLst>
                    <c:numCache>
                      <c:formatCode>General</c:formatCode>
                      <c:ptCount val="10"/>
                    </c:numCache>
                  </c:numRef>
                </c:val>
                <c:smooth val="1"/>
              </c15:ser>
            </c15:filteredLineSeries>
            <c15:filteredLineSeries>
              <c15:ser>
                <c:idx val="15"/>
                <c:order val="20"/>
                <c:tx>
                  <c:v>Ribble Valley Trend</c:v>
                </c:tx>
                <c:spPr>
                  <a:ln>
                    <a:solidFill>
                      <a:schemeClr val="accent1"/>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Graphical'!$AJ$20:$AW$20</c15:sqref>
                        </c15:formulaRef>
                      </c:ext>
                    </c:extLst>
                    <c:numCache>
                      <c:formatCode>General</c:formatCode>
                      <c:ptCount val="10"/>
                    </c:numCache>
                  </c:numRef>
                </c:val>
                <c:smooth val="1"/>
              </c15:ser>
            </c15:filteredLineSeries>
            <c15:filteredLineSeries>
              <c15:ser>
                <c:idx val="17"/>
                <c:order val="21"/>
                <c:tx>
                  <c:v>Rossendale Trend</c:v>
                </c:tx>
                <c:spPr>
                  <a:ln>
                    <a:solidFill>
                      <a:srgbClr val="C00000"/>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Graphical'!$AJ$22:$AW$22</c15:sqref>
                        </c15:formulaRef>
                      </c:ext>
                    </c:extLst>
                    <c:numCache>
                      <c:formatCode>General</c:formatCode>
                      <c:ptCount val="10"/>
                    </c:numCache>
                  </c:numRef>
                </c:val>
                <c:smooth val="1"/>
              </c15:ser>
            </c15:filteredLineSeries>
            <c15:filteredLineSeries>
              <c15:ser>
                <c:idx val="19"/>
                <c:order val="22"/>
                <c:tx>
                  <c:v>South Ribble Trend</c:v>
                </c:tx>
                <c:spPr>
                  <a:ln>
                    <a:solidFill>
                      <a:srgbClr val="00CCFF"/>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Graphical'!$AJ$24:$AW$24</c15:sqref>
                        </c15:formulaRef>
                      </c:ext>
                    </c:extLst>
                    <c:numCache>
                      <c:formatCode>General</c:formatCode>
                      <c:ptCount val="10"/>
                    </c:numCache>
                  </c:numRef>
                </c:val>
                <c:smooth val="1"/>
              </c15:ser>
            </c15:filteredLineSeries>
            <c15:filteredLineSeries>
              <c15:ser>
                <c:idx val="21"/>
                <c:order val="23"/>
                <c:tx>
                  <c:v>West Lancs Trend</c:v>
                </c:tx>
                <c:spPr>
                  <a:ln>
                    <a:solidFill>
                      <a:schemeClr val="accent2"/>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Graphical'!$AJ$26:$AW$26</c15:sqref>
                        </c15:formulaRef>
                      </c:ext>
                    </c:extLst>
                    <c:numCache>
                      <c:formatCode>General</c:formatCode>
                      <c:ptCount val="10"/>
                    </c:numCache>
                  </c:numRef>
                </c:val>
                <c:smooth val="1"/>
              </c15:ser>
            </c15:filteredLineSeries>
            <c15:filteredLineSeries>
              <c15:ser>
                <c:idx val="23"/>
                <c:order val="24"/>
                <c:tx>
                  <c:v>Wyre Trend</c:v>
                </c:tx>
                <c:spPr>
                  <a:ln>
                    <a:solidFill>
                      <a:schemeClr val="accent3"/>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Graphical'!$AJ$28:$AW$28</c15:sqref>
                        </c15:formulaRef>
                      </c:ext>
                    </c:extLst>
                    <c:numCache>
                      <c:formatCode>General</c:formatCode>
                      <c:ptCount val="10"/>
                    </c:numCache>
                  </c:numRef>
                </c:val>
                <c:smooth val="1"/>
              </c15:ser>
            </c15:filteredLineSeries>
            <c15:filteredLineSeries>
              <c15:ser>
                <c:idx val="26"/>
                <c:order val="25"/>
                <c:tx>
                  <c:v>Average Trend</c:v>
                </c:tx>
                <c:spPr>
                  <a:ln>
                    <a:solidFill>
                      <a:srgbClr val="040AFC"/>
                    </a:solidFill>
                    <a:prstDash val="dash"/>
                  </a:ln>
                </c:spPr>
                <c:marker>
                  <c:symbol val="none"/>
                </c:marker>
                <c:cat>
                  <c:numRef>
                    <c:extLst xmlns:c15="http://schemas.microsoft.com/office/drawing/2012/chart">
                      <c:ext xmlns:c15="http://schemas.microsoft.com/office/drawing/2012/chart" uri="{02D57815-91ED-43cb-92C2-25804820EDAC}">
                        <c15:formulaRef>
                          <c15:sqref>'ABC Graphical'!$AJ$4:$AW$4</c15:sqref>
                        </c15:formulaRef>
                      </c:ext>
                    </c:extLst>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extLst xmlns:c15="http://schemas.microsoft.com/office/drawing/2012/chart">
                      <c:ext xmlns:c15="http://schemas.microsoft.com/office/drawing/2012/chart" uri="{02D57815-91ED-43cb-92C2-25804820EDAC}">
                        <c15:formulaRef>
                          <c15:sqref>'ABC Graphical'!$AJ$31:$AW$31</c15:sqref>
                        </c15:formulaRef>
                      </c:ext>
                    </c:extLst>
                    <c:numCache>
                      <c:formatCode>General</c:formatCode>
                      <c:ptCount val="10"/>
                    </c:numCache>
                  </c:numRef>
                </c:val>
                <c:smooth val="1"/>
              </c15:ser>
            </c15:filteredLineSeries>
          </c:ext>
        </c:extLst>
      </c:lineChart>
      <c:catAx>
        <c:axId val="571939144"/>
        <c:scaling>
          <c:orientation val="minMax"/>
        </c:scaling>
        <c:delete val="0"/>
        <c:axPos val="b"/>
        <c:numFmt formatCode="General" sourceLinked="1"/>
        <c:majorTickMark val="none"/>
        <c:minorTickMark val="none"/>
        <c:tickLblPos val="nextTo"/>
        <c:crossAx val="571937968"/>
        <c:crosses val="autoZero"/>
        <c:auto val="1"/>
        <c:lblAlgn val="ctr"/>
        <c:lblOffset val="100"/>
        <c:noMultiLvlLbl val="0"/>
      </c:catAx>
      <c:valAx>
        <c:axId val="571937968"/>
        <c:scaling>
          <c:orientation val="minMax"/>
          <c:max val="250"/>
          <c:min val="10"/>
        </c:scaling>
        <c:delete val="0"/>
        <c:axPos val="l"/>
        <c:majorGridlines/>
        <c:title>
          <c:tx>
            <c:rich>
              <a:bodyPr/>
              <a:lstStyle/>
              <a:p>
                <a:pPr>
                  <a:defRPr/>
                </a:pPr>
                <a:r>
                  <a:rPr lang="en-US"/>
                  <a:t>KM</a:t>
                </a:r>
              </a:p>
            </c:rich>
          </c:tx>
          <c:overlay val="0"/>
        </c:title>
        <c:numFmt formatCode="0" sourceLinked="0"/>
        <c:majorTickMark val="none"/>
        <c:minorTickMark val="none"/>
        <c:tickLblPos val="nextTo"/>
        <c:crossAx val="571939144"/>
        <c:crosses val="autoZero"/>
        <c:crossBetween val="between"/>
      </c:valAx>
      <c:spPr>
        <a:ln>
          <a:solidFill>
            <a:schemeClr val="tx1"/>
          </a:solidFill>
        </a:ln>
      </c:spPr>
    </c:plotArea>
    <c:legend>
      <c:legendPos val="r"/>
      <c:layout>
        <c:manualLayout>
          <c:xMode val="edge"/>
          <c:yMode val="edge"/>
          <c:x val="7.2820434976390874E-2"/>
          <c:y val="0.20207220485630251"/>
          <c:w val="0.31039792093256596"/>
          <c:h val="0.22601013598174599"/>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a:solidFill>
                  <a:schemeClr val="tx1"/>
                </a:solidFill>
              </a:rPr>
              <a:t>A,B &amp; C Roads - % Red,</a:t>
            </a:r>
            <a:r>
              <a:rPr lang="en-GB" baseline="0">
                <a:solidFill>
                  <a:schemeClr val="tx1"/>
                </a:solidFill>
              </a:rPr>
              <a:t> Amber or Green 2014 v 2018</a:t>
            </a:r>
            <a:endParaRPr lang="en-GB">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percentStacked"/>
        <c:varyColors val="0"/>
        <c:ser>
          <c:idx val="0"/>
          <c:order val="0"/>
          <c:tx>
            <c:strRef>
              <c:f>'ABC Graphical'!$U$230</c:f>
              <c:strCache>
                <c:ptCount val="1"/>
                <c:pt idx="0">
                  <c:v>Red</c:v>
                </c:pt>
              </c:strCache>
            </c:strRef>
          </c:tx>
          <c:spPr>
            <a:solidFill>
              <a:srgbClr val="FF0000"/>
            </a:solidFill>
            <a:ln>
              <a:solidFill>
                <a:schemeClr val="tx1"/>
              </a:solidFill>
            </a:ln>
            <a:effectLst/>
          </c:spPr>
          <c:invertIfNegative val="0"/>
          <c:dPt>
            <c:idx val="0"/>
            <c:invertIfNegative val="0"/>
            <c:bubble3D val="0"/>
            <c:spPr>
              <a:solidFill>
                <a:srgbClr val="FF0000"/>
              </a:solidFill>
              <a:ln>
                <a:solidFill>
                  <a:schemeClr val="tx1"/>
                </a:solidFill>
              </a:ln>
              <a:effectLst/>
            </c:spPr>
          </c:dPt>
          <c:dPt>
            <c:idx val="2"/>
            <c:invertIfNegative val="0"/>
            <c:bubble3D val="0"/>
            <c:spPr>
              <a:solidFill>
                <a:srgbClr val="FF0000"/>
              </a:solidFill>
              <a:ln>
                <a:solidFill>
                  <a:schemeClr val="tx1"/>
                </a:solidFill>
              </a:ln>
              <a:effectLst/>
            </c:spPr>
          </c:dPt>
          <c:dPt>
            <c:idx val="4"/>
            <c:invertIfNegative val="0"/>
            <c:bubble3D val="0"/>
            <c:spPr>
              <a:solidFill>
                <a:srgbClr val="FF0000"/>
              </a:solidFill>
              <a:ln>
                <a:solidFill>
                  <a:schemeClr val="tx1"/>
                </a:solidFill>
              </a:ln>
              <a:effectLst/>
            </c:spPr>
          </c:dPt>
          <c:dPt>
            <c:idx val="6"/>
            <c:invertIfNegative val="0"/>
            <c:bubble3D val="0"/>
            <c:spPr>
              <a:solidFill>
                <a:srgbClr val="FF0000"/>
              </a:solidFill>
              <a:ln>
                <a:solidFill>
                  <a:schemeClr val="tx1"/>
                </a:solidFill>
              </a:ln>
              <a:effectLst/>
            </c:spPr>
          </c:dPt>
          <c:dPt>
            <c:idx val="8"/>
            <c:invertIfNegative val="0"/>
            <c:bubble3D val="0"/>
            <c:spPr>
              <a:solidFill>
                <a:srgbClr val="FF0000"/>
              </a:solidFill>
              <a:ln>
                <a:solidFill>
                  <a:schemeClr val="tx1"/>
                </a:solidFill>
              </a:ln>
              <a:effectLst/>
            </c:spPr>
          </c:dPt>
          <c:dPt>
            <c:idx val="10"/>
            <c:invertIfNegative val="0"/>
            <c:bubble3D val="0"/>
            <c:spPr>
              <a:solidFill>
                <a:srgbClr val="FF0000"/>
              </a:solidFill>
              <a:ln>
                <a:solidFill>
                  <a:schemeClr val="tx1"/>
                </a:solidFill>
              </a:ln>
              <a:effectLst/>
            </c:spPr>
          </c:dPt>
          <c:dPt>
            <c:idx val="12"/>
            <c:invertIfNegative val="0"/>
            <c:bubble3D val="0"/>
            <c:spPr>
              <a:solidFill>
                <a:srgbClr val="FF0000"/>
              </a:solidFill>
              <a:ln>
                <a:solidFill>
                  <a:schemeClr val="tx1"/>
                </a:solidFill>
              </a:ln>
              <a:effectLst/>
            </c:spPr>
          </c:dPt>
          <c:dPt>
            <c:idx val="14"/>
            <c:invertIfNegative val="0"/>
            <c:bubble3D val="0"/>
            <c:spPr>
              <a:solidFill>
                <a:srgbClr val="FF0000"/>
              </a:solidFill>
              <a:ln>
                <a:solidFill>
                  <a:schemeClr val="tx1"/>
                </a:solidFill>
              </a:ln>
              <a:effectLst/>
            </c:spPr>
          </c:dPt>
          <c:dPt>
            <c:idx val="16"/>
            <c:invertIfNegative val="0"/>
            <c:bubble3D val="0"/>
            <c:spPr>
              <a:solidFill>
                <a:srgbClr val="FF0000"/>
              </a:solidFill>
              <a:ln>
                <a:solidFill>
                  <a:schemeClr val="tx1"/>
                </a:solidFill>
              </a:ln>
              <a:effectLst/>
            </c:spPr>
          </c:dPt>
          <c:dPt>
            <c:idx val="18"/>
            <c:invertIfNegative val="0"/>
            <c:bubble3D val="0"/>
            <c:spPr>
              <a:solidFill>
                <a:srgbClr val="FF0000"/>
              </a:solidFill>
              <a:ln>
                <a:solidFill>
                  <a:schemeClr val="tx1"/>
                </a:solidFill>
              </a:ln>
              <a:effectLst/>
            </c:spPr>
          </c:dPt>
          <c:dPt>
            <c:idx val="20"/>
            <c:invertIfNegative val="0"/>
            <c:bubble3D val="0"/>
            <c:spPr>
              <a:solidFill>
                <a:srgbClr val="FF0000"/>
              </a:solidFill>
              <a:ln>
                <a:solidFill>
                  <a:schemeClr val="tx1"/>
                </a:solidFill>
              </a:ln>
              <a:effectLst/>
            </c:spPr>
          </c:dPt>
          <c:dPt>
            <c:idx val="22"/>
            <c:invertIfNegative val="0"/>
            <c:bubble3D val="0"/>
            <c:spPr>
              <a:solidFill>
                <a:srgbClr val="FF0000"/>
              </a:solidFill>
              <a:ln>
                <a:solidFill>
                  <a:schemeClr val="tx1"/>
                </a:solidFill>
              </a:ln>
              <a:effectLst/>
            </c:spPr>
          </c:dPt>
          <c:cat>
            <c:multiLvlStrRef>
              <c:f>'ABC Graphical'!$S$231:$T$254</c:f>
              <c:multiLvlStrCache>
                <c:ptCount val="24"/>
                <c:lvl>
                  <c:pt idx="0">
                    <c:v>2014</c:v>
                  </c:pt>
                  <c:pt idx="1">
                    <c:v>2018</c:v>
                  </c:pt>
                  <c:pt idx="2">
                    <c:v>2014</c:v>
                  </c:pt>
                  <c:pt idx="3">
                    <c:v>2018</c:v>
                  </c:pt>
                  <c:pt idx="4">
                    <c:v>2014</c:v>
                  </c:pt>
                  <c:pt idx="5">
                    <c:v>2018</c:v>
                  </c:pt>
                  <c:pt idx="6">
                    <c:v>2014</c:v>
                  </c:pt>
                  <c:pt idx="7">
                    <c:v>2018</c:v>
                  </c:pt>
                  <c:pt idx="8">
                    <c:v>2014</c:v>
                  </c:pt>
                  <c:pt idx="9">
                    <c:v>2018</c:v>
                  </c:pt>
                  <c:pt idx="10">
                    <c:v>2014</c:v>
                  </c:pt>
                  <c:pt idx="11">
                    <c:v>2018</c:v>
                  </c:pt>
                  <c:pt idx="12">
                    <c:v>2014</c:v>
                  </c:pt>
                  <c:pt idx="13">
                    <c:v>2018</c:v>
                  </c:pt>
                  <c:pt idx="14">
                    <c:v>2014</c:v>
                  </c:pt>
                  <c:pt idx="15">
                    <c:v>2018</c:v>
                  </c:pt>
                  <c:pt idx="16">
                    <c:v>2014</c:v>
                  </c:pt>
                  <c:pt idx="17">
                    <c:v>2018</c:v>
                  </c:pt>
                  <c:pt idx="18">
                    <c:v>2014</c:v>
                  </c:pt>
                  <c:pt idx="19">
                    <c:v>2018</c:v>
                  </c:pt>
                  <c:pt idx="20">
                    <c:v>2014</c:v>
                  </c:pt>
                  <c:pt idx="21">
                    <c:v>2018</c:v>
                  </c:pt>
                  <c:pt idx="22">
                    <c:v>2014</c:v>
                  </c:pt>
                  <c:pt idx="23">
                    <c:v>2018</c:v>
                  </c:pt>
                </c:lvl>
                <c:lvl>
                  <c:pt idx="0">
                    <c:v>Burnley</c:v>
                  </c:pt>
                  <c:pt idx="2">
                    <c:v>Chorley</c:v>
                  </c:pt>
                  <c:pt idx="4">
                    <c:v>Fylde</c:v>
                  </c:pt>
                  <c:pt idx="6">
                    <c:v>Hyndburn</c:v>
                  </c:pt>
                  <c:pt idx="8">
                    <c:v>Lancaster</c:v>
                  </c:pt>
                  <c:pt idx="10">
                    <c:v>Pendle</c:v>
                  </c:pt>
                  <c:pt idx="12">
                    <c:v>Preston</c:v>
                  </c:pt>
                  <c:pt idx="14">
                    <c:v>Ribble Valley</c:v>
                  </c:pt>
                  <c:pt idx="16">
                    <c:v>Rossendale</c:v>
                  </c:pt>
                  <c:pt idx="18">
                    <c:v>South Ribble</c:v>
                  </c:pt>
                  <c:pt idx="20">
                    <c:v>West Lancs</c:v>
                  </c:pt>
                  <c:pt idx="22">
                    <c:v>Wyre</c:v>
                  </c:pt>
                </c:lvl>
              </c:multiLvlStrCache>
            </c:multiLvlStrRef>
          </c:cat>
          <c:val>
            <c:numRef>
              <c:f>'ABC Graphical'!$U$231:$U$254</c:f>
              <c:numCache>
                <c:formatCode>#,##0.00</c:formatCode>
                <c:ptCount val="24"/>
                <c:pt idx="0">
                  <c:v>3.7583180000000005</c:v>
                </c:pt>
                <c:pt idx="1">
                  <c:v>3.3165590000000003</c:v>
                </c:pt>
                <c:pt idx="2">
                  <c:v>26.076400000000003</c:v>
                </c:pt>
                <c:pt idx="3">
                  <c:v>8.8658229999999989</c:v>
                </c:pt>
                <c:pt idx="4">
                  <c:v>14.806415000000001</c:v>
                </c:pt>
                <c:pt idx="5" formatCode="0.00">
                  <c:v>7.9637160000000007</c:v>
                </c:pt>
                <c:pt idx="6">
                  <c:v>5.123888</c:v>
                </c:pt>
                <c:pt idx="7" formatCode="0.00">
                  <c:v>1.0916129999999999</c:v>
                </c:pt>
                <c:pt idx="8">
                  <c:v>46.596466999999997</c:v>
                </c:pt>
                <c:pt idx="9">
                  <c:v>24.267702999999997</c:v>
                </c:pt>
                <c:pt idx="10">
                  <c:v>9.4036869999999997</c:v>
                </c:pt>
                <c:pt idx="11">
                  <c:v>5.1634879999999992</c:v>
                </c:pt>
                <c:pt idx="12">
                  <c:v>17.363913</c:v>
                </c:pt>
                <c:pt idx="13">
                  <c:v>8.6008560000000003</c:v>
                </c:pt>
                <c:pt idx="14">
                  <c:v>39.254009000000003</c:v>
                </c:pt>
                <c:pt idx="15">
                  <c:v>19.923615999999999</c:v>
                </c:pt>
                <c:pt idx="16">
                  <c:v>7.2893350000000012</c:v>
                </c:pt>
                <c:pt idx="17">
                  <c:v>1.8360100000000001</c:v>
                </c:pt>
                <c:pt idx="18">
                  <c:v>14.004297000000001</c:v>
                </c:pt>
                <c:pt idx="19">
                  <c:v>4.3989609999999999</c:v>
                </c:pt>
                <c:pt idx="20" formatCode="0.00">
                  <c:v>38.034388000000007</c:v>
                </c:pt>
                <c:pt idx="21" formatCode="0.00">
                  <c:v>14.740086</c:v>
                </c:pt>
                <c:pt idx="22" formatCode="0.00">
                  <c:v>33.228957999999999</c:v>
                </c:pt>
                <c:pt idx="23" formatCode="0.00">
                  <c:v>15.288342</c:v>
                </c:pt>
              </c:numCache>
            </c:numRef>
          </c:val>
        </c:ser>
        <c:ser>
          <c:idx val="1"/>
          <c:order val="1"/>
          <c:tx>
            <c:strRef>
              <c:f>'ABC Graphical'!$V$230</c:f>
              <c:strCache>
                <c:ptCount val="1"/>
                <c:pt idx="0">
                  <c:v>Amber</c:v>
                </c:pt>
              </c:strCache>
            </c:strRef>
          </c:tx>
          <c:spPr>
            <a:solidFill>
              <a:srgbClr val="FFFF00"/>
            </a:solidFill>
            <a:ln>
              <a:solidFill>
                <a:schemeClr val="tx1"/>
              </a:solidFill>
            </a:ln>
            <a:effectLst/>
          </c:spPr>
          <c:invertIfNegative val="0"/>
          <c:dPt>
            <c:idx val="0"/>
            <c:invertIfNegative val="0"/>
            <c:bubble3D val="0"/>
            <c:spPr>
              <a:solidFill>
                <a:srgbClr val="FFFF00"/>
              </a:solidFill>
              <a:ln>
                <a:solidFill>
                  <a:schemeClr val="tx1"/>
                </a:solidFill>
              </a:ln>
              <a:effectLst/>
            </c:spPr>
          </c:dPt>
          <c:dPt>
            <c:idx val="2"/>
            <c:invertIfNegative val="0"/>
            <c:bubble3D val="0"/>
            <c:spPr>
              <a:solidFill>
                <a:srgbClr val="FFFF00"/>
              </a:solidFill>
              <a:ln>
                <a:solidFill>
                  <a:schemeClr val="tx1"/>
                </a:solidFill>
              </a:ln>
              <a:effectLst/>
            </c:spPr>
          </c:dPt>
          <c:dPt>
            <c:idx val="4"/>
            <c:invertIfNegative val="0"/>
            <c:bubble3D val="0"/>
            <c:spPr>
              <a:solidFill>
                <a:srgbClr val="FFFF00"/>
              </a:solidFill>
              <a:ln>
                <a:solidFill>
                  <a:schemeClr val="tx1"/>
                </a:solidFill>
              </a:ln>
              <a:effectLst/>
            </c:spPr>
          </c:dPt>
          <c:dPt>
            <c:idx val="6"/>
            <c:invertIfNegative val="0"/>
            <c:bubble3D val="0"/>
            <c:spPr>
              <a:solidFill>
                <a:srgbClr val="FFFF00"/>
              </a:solidFill>
              <a:ln>
                <a:solidFill>
                  <a:schemeClr val="tx1"/>
                </a:solidFill>
              </a:ln>
              <a:effectLst/>
            </c:spPr>
          </c:dPt>
          <c:dPt>
            <c:idx val="8"/>
            <c:invertIfNegative val="0"/>
            <c:bubble3D val="0"/>
            <c:spPr>
              <a:solidFill>
                <a:srgbClr val="FFFF00"/>
              </a:solidFill>
              <a:ln>
                <a:solidFill>
                  <a:schemeClr val="tx1"/>
                </a:solidFill>
              </a:ln>
              <a:effectLst/>
            </c:spPr>
          </c:dPt>
          <c:dPt>
            <c:idx val="10"/>
            <c:invertIfNegative val="0"/>
            <c:bubble3D val="0"/>
            <c:spPr>
              <a:solidFill>
                <a:srgbClr val="FFFF00"/>
              </a:solidFill>
              <a:ln>
                <a:solidFill>
                  <a:schemeClr val="tx1"/>
                </a:solidFill>
              </a:ln>
              <a:effectLst/>
            </c:spPr>
          </c:dPt>
          <c:dPt>
            <c:idx val="12"/>
            <c:invertIfNegative val="0"/>
            <c:bubble3D val="0"/>
            <c:spPr>
              <a:solidFill>
                <a:srgbClr val="FFFF00"/>
              </a:solidFill>
              <a:ln>
                <a:solidFill>
                  <a:schemeClr val="tx1"/>
                </a:solidFill>
              </a:ln>
              <a:effectLst/>
            </c:spPr>
          </c:dPt>
          <c:dPt>
            <c:idx val="14"/>
            <c:invertIfNegative val="0"/>
            <c:bubble3D val="0"/>
            <c:spPr>
              <a:solidFill>
                <a:srgbClr val="FFFF00"/>
              </a:solidFill>
              <a:ln>
                <a:solidFill>
                  <a:schemeClr val="tx1"/>
                </a:solidFill>
              </a:ln>
              <a:effectLst/>
            </c:spPr>
          </c:dPt>
          <c:dPt>
            <c:idx val="16"/>
            <c:invertIfNegative val="0"/>
            <c:bubble3D val="0"/>
            <c:spPr>
              <a:solidFill>
                <a:srgbClr val="FFFF00"/>
              </a:solidFill>
              <a:ln>
                <a:solidFill>
                  <a:schemeClr val="tx1"/>
                </a:solidFill>
              </a:ln>
              <a:effectLst/>
            </c:spPr>
          </c:dPt>
          <c:dPt>
            <c:idx val="18"/>
            <c:invertIfNegative val="0"/>
            <c:bubble3D val="0"/>
            <c:spPr>
              <a:solidFill>
                <a:srgbClr val="FFFF00"/>
              </a:solidFill>
              <a:ln>
                <a:solidFill>
                  <a:schemeClr val="tx1"/>
                </a:solidFill>
              </a:ln>
              <a:effectLst/>
            </c:spPr>
          </c:dPt>
          <c:dPt>
            <c:idx val="20"/>
            <c:invertIfNegative val="0"/>
            <c:bubble3D val="0"/>
            <c:spPr>
              <a:solidFill>
                <a:srgbClr val="FFFF00"/>
              </a:solidFill>
              <a:ln>
                <a:solidFill>
                  <a:schemeClr val="tx1"/>
                </a:solidFill>
              </a:ln>
              <a:effectLst/>
            </c:spPr>
          </c:dPt>
          <c:dPt>
            <c:idx val="22"/>
            <c:invertIfNegative val="0"/>
            <c:bubble3D val="0"/>
            <c:spPr>
              <a:solidFill>
                <a:srgbClr val="FFFF00"/>
              </a:solidFill>
              <a:ln>
                <a:solidFill>
                  <a:schemeClr val="tx1"/>
                </a:solidFill>
              </a:ln>
              <a:effectLst/>
            </c:spPr>
          </c:dPt>
          <c:cat>
            <c:multiLvlStrRef>
              <c:f>'ABC Graphical'!$S$231:$T$254</c:f>
              <c:multiLvlStrCache>
                <c:ptCount val="24"/>
                <c:lvl>
                  <c:pt idx="0">
                    <c:v>2014</c:v>
                  </c:pt>
                  <c:pt idx="1">
                    <c:v>2018</c:v>
                  </c:pt>
                  <c:pt idx="2">
                    <c:v>2014</c:v>
                  </c:pt>
                  <c:pt idx="3">
                    <c:v>2018</c:v>
                  </c:pt>
                  <c:pt idx="4">
                    <c:v>2014</c:v>
                  </c:pt>
                  <c:pt idx="5">
                    <c:v>2018</c:v>
                  </c:pt>
                  <c:pt idx="6">
                    <c:v>2014</c:v>
                  </c:pt>
                  <c:pt idx="7">
                    <c:v>2018</c:v>
                  </c:pt>
                  <c:pt idx="8">
                    <c:v>2014</c:v>
                  </c:pt>
                  <c:pt idx="9">
                    <c:v>2018</c:v>
                  </c:pt>
                  <c:pt idx="10">
                    <c:v>2014</c:v>
                  </c:pt>
                  <c:pt idx="11">
                    <c:v>2018</c:v>
                  </c:pt>
                  <c:pt idx="12">
                    <c:v>2014</c:v>
                  </c:pt>
                  <c:pt idx="13">
                    <c:v>2018</c:v>
                  </c:pt>
                  <c:pt idx="14">
                    <c:v>2014</c:v>
                  </c:pt>
                  <c:pt idx="15">
                    <c:v>2018</c:v>
                  </c:pt>
                  <c:pt idx="16">
                    <c:v>2014</c:v>
                  </c:pt>
                  <c:pt idx="17">
                    <c:v>2018</c:v>
                  </c:pt>
                  <c:pt idx="18">
                    <c:v>2014</c:v>
                  </c:pt>
                  <c:pt idx="19">
                    <c:v>2018</c:v>
                  </c:pt>
                  <c:pt idx="20">
                    <c:v>2014</c:v>
                  </c:pt>
                  <c:pt idx="21">
                    <c:v>2018</c:v>
                  </c:pt>
                  <c:pt idx="22">
                    <c:v>2014</c:v>
                  </c:pt>
                  <c:pt idx="23">
                    <c:v>2018</c:v>
                  </c:pt>
                </c:lvl>
                <c:lvl>
                  <c:pt idx="0">
                    <c:v>Burnley</c:v>
                  </c:pt>
                  <c:pt idx="2">
                    <c:v>Chorley</c:v>
                  </c:pt>
                  <c:pt idx="4">
                    <c:v>Fylde</c:v>
                  </c:pt>
                  <c:pt idx="6">
                    <c:v>Hyndburn</c:v>
                  </c:pt>
                  <c:pt idx="8">
                    <c:v>Lancaster</c:v>
                  </c:pt>
                  <c:pt idx="10">
                    <c:v>Pendle</c:v>
                  </c:pt>
                  <c:pt idx="12">
                    <c:v>Preston</c:v>
                  </c:pt>
                  <c:pt idx="14">
                    <c:v>Ribble Valley</c:v>
                  </c:pt>
                  <c:pt idx="16">
                    <c:v>Rossendale</c:v>
                  </c:pt>
                  <c:pt idx="18">
                    <c:v>South Ribble</c:v>
                  </c:pt>
                  <c:pt idx="20">
                    <c:v>West Lancs</c:v>
                  </c:pt>
                  <c:pt idx="22">
                    <c:v>Wyre</c:v>
                  </c:pt>
                </c:lvl>
              </c:multiLvlStrCache>
            </c:multiLvlStrRef>
          </c:cat>
          <c:val>
            <c:numRef>
              <c:f>'ABC Graphical'!$V$231:$V$254</c:f>
              <c:numCache>
                <c:formatCode>0.00</c:formatCode>
                <c:ptCount val="24"/>
                <c:pt idx="0" formatCode="#,##0.00">
                  <c:v>28.177292000000001</c:v>
                </c:pt>
                <c:pt idx="1">
                  <c:v>23.147364000000003</c:v>
                </c:pt>
                <c:pt idx="2" formatCode="#,##0.00">
                  <c:v>80.308382999999992</c:v>
                </c:pt>
                <c:pt idx="3">
                  <c:v>51.970938000000004</c:v>
                </c:pt>
                <c:pt idx="4" formatCode="#,##0.00">
                  <c:v>56.549720000000001</c:v>
                </c:pt>
                <c:pt idx="5">
                  <c:v>39.362378</c:v>
                </c:pt>
                <c:pt idx="6" formatCode="#,##0.00">
                  <c:v>24.748149999999999</c:v>
                </c:pt>
                <c:pt idx="7">
                  <c:v>14.273205999999998</c:v>
                </c:pt>
                <c:pt idx="8" formatCode="#,##0.00">
                  <c:v>167.68625699999998</c:v>
                </c:pt>
                <c:pt idx="9" formatCode="#,##0.00">
                  <c:v>126.05722400000001</c:v>
                </c:pt>
                <c:pt idx="10" formatCode="#,##0.00">
                  <c:v>45.923987999999994</c:v>
                </c:pt>
                <c:pt idx="11" formatCode="#,##0.00">
                  <c:v>36.891439999999996</c:v>
                </c:pt>
                <c:pt idx="12" formatCode="#,##0.00">
                  <c:v>68.326080000000005</c:v>
                </c:pt>
                <c:pt idx="13" formatCode="#,##0.00">
                  <c:v>48.480964</c:v>
                </c:pt>
                <c:pt idx="14" formatCode="#,##0.00">
                  <c:v>140.959441</c:v>
                </c:pt>
                <c:pt idx="15" formatCode="#,##0.00">
                  <c:v>105.21192899999998</c:v>
                </c:pt>
                <c:pt idx="16" formatCode="#,##0.00">
                  <c:v>29.297058</c:v>
                </c:pt>
                <c:pt idx="17" formatCode="#,##0.00">
                  <c:v>18.769114000000002</c:v>
                </c:pt>
                <c:pt idx="18" formatCode="#,##0.00">
                  <c:v>51.142546000000003</c:v>
                </c:pt>
                <c:pt idx="19" formatCode="#,##0.00">
                  <c:v>31.455352000000001</c:v>
                </c:pt>
                <c:pt idx="20">
                  <c:v>124.53094899999999</c:v>
                </c:pt>
                <c:pt idx="21">
                  <c:v>77.810434000000001</c:v>
                </c:pt>
                <c:pt idx="22">
                  <c:v>106.574202</c:v>
                </c:pt>
                <c:pt idx="23">
                  <c:v>73.349026999999992</c:v>
                </c:pt>
              </c:numCache>
            </c:numRef>
          </c:val>
        </c:ser>
        <c:ser>
          <c:idx val="2"/>
          <c:order val="2"/>
          <c:tx>
            <c:strRef>
              <c:f>'ABC Graphical'!$W$230</c:f>
              <c:strCache>
                <c:ptCount val="1"/>
                <c:pt idx="0">
                  <c:v>Green</c:v>
                </c:pt>
              </c:strCache>
            </c:strRef>
          </c:tx>
          <c:spPr>
            <a:solidFill>
              <a:srgbClr val="92D050"/>
            </a:solidFill>
            <a:ln>
              <a:solidFill>
                <a:schemeClr val="tx1"/>
              </a:solidFill>
            </a:ln>
            <a:effectLst/>
          </c:spPr>
          <c:invertIfNegative val="0"/>
          <c:dPt>
            <c:idx val="0"/>
            <c:invertIfNegative val="0"/>
            <c:bubble3D val="0"/>
            <c:spPr>
              <a:solidFill>
                <a:srgbClr val="92D050"/>
              </a:solidFill>
              <a:ln>
                <a:solidFill>
                  <a:schemeClr val="tx1"/>
                </a:solidFill>
              </a:ln>
              <a:effectLst/>
            </c:spPr>
          </c:dPt>
          <c:dPt>
            <c:idx val="2"/>
            <c:invertIfNegative val="0"/>
            <c:bubble3D val="0"/>
            <c:spPr>
              <a:solidFill>
                <a:srgbClr val="92D050"/>
              </a:solidFill>
              <a:ln>
                <a:solidFill>
                  <a:schemeClr val="tx1"/>
                </a:solidFill>
              </a:ln>
              <a:effectLst/>
            </c:spPr>
          </c:dPt>
          <c:dPt>
            <c:idx val="4"/>
            <c:invertIfNegative val="0"/>
            <c:bubble3D val="0"/>
            <c:spPr>
              <a:solidFill>
                <a:srgbClr val="92D050"/>
              </a:solidFill>
              <a:ln>
                <a:solidFill>
                  <a:schemeClr val="tx1"/>
                </a:solidFill>
              </a:ln>
              <a:effectLst/>
            </c:spPr>
          </c:dPt>
          <c:dPt>
            <c:idx val="6"/>
            <c:invertIfNegative val="0"/>
            <c:bubble3D val="0"/>
            <c:spPr>
              <a:solidFill>
                <a:srgbClr val="92D050"/>
              </a:solidFill>
              <a:ln>
                <a:solidFill>
                  <a:schemeClr val="tx1"/>
                </a:solidFill>
              </a:ln>
              <a:effectLst/>
            </c:spPr>
          </c:dPt>
          <c:dPt>
            <c:idx val="8"/>
            <c:invertIfNegative val="0"/>
            <c:bubble3D val="0"/>
            <c:spPr>
              <a:solidFill>
                <a:srgbClr val="92D050"/>
              </a:solidFill>
              <a:ln>
                <a:solidFill>
                  <a:schemeClr val="tx1"/>
                </a:solidFill>
              </a:ln>
              <a:effectLst/>
            </c:spPr>
          </c:dPt>
          <c:dPt>
            <c:idx val="10"/>
            <c:invertIfNegative val="0"/>
            <c:bubble3D val="0"/>
            <c:spPr>
              <a:solidFill>
                <a:srgbClr val="92D050"/>
              </a:solidFill>
              <a:ln>
                <a:solidFill>
                  <a:schemeClr val="tx1"/>
                </a:solidFill>
              </a:ln>
              <a:effectLst/>
            </c:spPr>
          </c:dPt>
          <c:dPt>
            <c:idx val="12"/>
            <c:invertIfNegative val="0"/>
            <c:bubble3D val="0"/>
            <c:spPr>
              <a:solidFill>
                <a:srgbClr val="92D050"/>
              </a:solidFill>
              <a:ln>
                <a:solidFill>
                  <a:schemeClr val="tx1"/>
                </a:solidFill>
              </a:ln>
              <a:effectLst/>
            </c:spPr>
          </c:dPt>
          <c:dPt>
            <c:idx val="14"/>
            <c:invertIfNegative val="0"/>
            <c:bubble3D val="0"/>
            <c:spPr>
              <a:solidFill>
                <a:srgbClr val="92D050"/>
              </a:solidFill>
              <a:ln>
                <a:solidFill>
                  <a:schemeClr val="tx1"/>
                </a:solidFill>
              </a:ln>
              <a:effectLst/>
            </c:spPr>
          </c:dPt>
          <c:dPt>
            <c:idx val="16"/>
            <c:invertIfNegative val="0"/>
            <c:bubble3D val="0"/>
            <c:spPr>
              <a:solidFill>
                <a:srgbClr val="92D050"/>
              </a:solidFill>
              <a:ln>
                <a:solidFill>
                  <a:schemeClr val="tx1"/>
                </a:solidFill>
              </a:ln>
              <a:effectLst/>
            </c:spPr>
          </c:dPt>
          <c:dPt>
            <c:idx val="18"/>
            <c:invertIfNegative val="0"/>
            <c:bubble3D val="0"/>
            <c:spPr>
              <a:solidFill>
                <a:srgbClr val="92D050"/>
              </a:solidFill>
              <a:ln>
                <a:solidFill>
                  <a:schemeClr val="tx1"/>
                </a:solidFill>
              </a:ln>
              <a:effectLst/>
            </c:spPr>
          </c:dPt>
          <c:dPt>
            <c:idx val="20"/>
            <c:invertIfNegative val="0"/>
            <c:bubble3D val="0"/>
            <c:spPr>
              <a:solidFill>
                <a:srgbClr val="92D050"/>
              </a:solidFill>
              <a:ln>
                <a:solidFill>
                  <a:schemeClr val="tx1"/>
                </a:solidFill>
              </a:ln>
              <a:effectLst/>
            </c:spPr>
          </c:dPt>
          <c:dPt>
            <c:idx val="22"/>
            <c:invertIfNegative val="0"/>
            <c:bubble3D val="0"/>
            <c:spPr>
              <a:solidFill>
                <a:srgbClr val="92D050"/>
              </a:solidFill>
              <a:ln>
                <a:solidFill>
                  <a:schemeClr val="tx1"/>
                </a:solidFill>
              </a:ln>
              <a:effectLst/>
            </c:spPr>
          </c:dPt>
          <c:cat>
            <c:multiLvlStrRef>
              <c:f>'ABC Graphical'!$S$231:$T$254</c:f>
              <c:multiLvlStrCache>
                <c:ptCount val="24"/>
                <c:lvl>
                  <c:pt idx="0">
                    <c:v>2014</c:v>
                  </c:pt>
                  <c:pt idx="1">
                    <c:v>2018</c:v>
                  </c:pt>
                  <c:pt idx="2">
                    <c:v>2014</c:v>
                  </c:pt>
                  <c:pt idx="3">
                    <c:v>2018</c:v>
                  </c:pt>
                  <c:pt idx="4">
                    <c:v>2014</c:v>
                  </c:pt>
                  <c:pt idx="5">
                    <c:v>2018</c:v>
                  </c:pt>
                  <c:pt idx="6">
                    <c:v>2014</c:v>
                  </c:pt>
                  <c:pt idx="7">
                    <c:v>2018</c:v>
                  </c:pt>
                  <c:pt idx="8">
                    <c:v>2014</c:v>
                  </c:pt>
                  <c:pt idx="9">
                    <c:v>2018</c:v>
                  </c:pt>
                  <c:pt idx="10">
                    <c:v>2014</c:v>
                  </c:pt>
                  <c:pt idx="11">
                    <c:v>2018</c:v>
                  </c:pt>
                  <c:pt idx="12">
                    <c:v>2014</c:v>
                  </c:pt>
                  <c:pt idx="13">
                    <c:v>2018</c:v>
                  </c:pt>
                  <c:pt idx="14">
                    <c:v>2014</c:v>
                  </c:pt>
                  <c:pt idx="15">
                    <c:v>2018</c:v>
                  </c:pt>
                  <c:pt idx="16">
                    <c:v>2014</c:v>
                  </c:pt>
                  <c:pt idx="17">
                    <c:v>2018</c:v>
                  </c:pt>
                  <c:pt idx="18">
                    <c:v>2014</c:v>
                  </c:pt>
                  <c:pt idx="19">
                    <c:v>2018</c:v>
                  </c:pt>
                  <c:pt idx="20">
                    <c:v>2014</c:v>
                  </c:pt>
                  <c:pt idx="21">
                    <c:v>2018</c:v>
                  </c:pt>
                  <c:pt idx="22">
                    <c:v>2014</c:v>
                  </c:pt>
                  <c:pt idx="23">
                    <c:v>2018</c:v>
                  </c:pt>
                </c:lvl>
                <c:lvl>
                  <c:pt idx="0">
                    <c:v>Burnley</c:v>
                  </c:pt>
                  <c:pt idx="2">
                    <c:v>Chorley</c:v>
                  </c:pt>
                  <c:pt idx="4">
                    <c:v>Fylde</c:v>
                  </c:pt>
                  <c:pt idx="6">
                    <c:v>Hyndburn</c:v>
                  </c:pt>
                  <c:pt idx="8">
                    <c:v>Lancaster</c:v>
                  </c:pt>
                  <c:pt idx="10">
                    <c:v>Pendle</c:v>
                  </c:pt>
                  <c:pt idx="12">
                    <c:v>Preston</c:v>
                  </c:pt>
                  <c:pt idx="14">
                    <c:v>Ribble Valley</c:v>
                  </c:pt>
                  <c:pt idx="16">
                    <c:v>Rossendale</c:v>
                  </c:pt>
                  <c:pt idx="18">
                    <c:v>South Ribble</c:v>
                  </c:pt>
                  <c:pt idx="20">
                    <c:v>West Lancs</c:v>
                  </c:pt>
                  <c:pt idx="22">
                    <c:v>Wyre</c:v>
                  </c:pt>
                </c:lvl>
              </c:multiLvlStrCache>
            </c:multiLvlStrRef>
          </c:cat>
          <c:val>
            <c:numRef>
              <c:f>'ABC Graphical'!$W$231:$W$254</c:f>
              <c:numCache>
                <c:formatCode>#,##0.00</c:formatCode>
                <c:ptCount val="24"/>
                <c:pt idx="0">
                  <c:v>71.938389999999998</c:v>
                </c:pt>
                <c:pt idx="1">
                  <c:v>77.410077000000015</c:v>
                </c:pt>
                <c:pt idx="2">
                  <c:v>114.56921700000001</c:v>
                </c:pt>
                <c:pt idx="3">
                  <c:v>160.11723900000001</c:v>
                </c:pt>
                <c:pt idx="4">
                  <c:v>107.50086499999999</c:v>
                </c:pt>
                <c:pt idx="5">
                  <c:v>131.53090599999999</c:v>
                </c:pt>
                <c:pt idx="6">
                  <c:v>51.859962000000003</c:v>
                </c:pt>
                <c:pt idx="7">
                  <c:v>66.367181000000002</c:v>
                </c:pt>
                <c:pt idx="8">
                  <c:v>197.76927600000005</c:v>
                </c:pt>
                <c:pt idx="9">
                  <c:v>261.72707300000002</c:v>
                </c:pt>
                <c:pt idx="10">
                  <c:v>72.058324999999996</c:v>
                </c:pt>
                <c:pt idx="11">
                  <c:v>85.331072000000006</c:v>
                </c:pt>
                <c:pt idx="12">
                  <c:v>93.22300700000001</c:v>
                </c:pt>
                <c:pt idx="13">
                  <c:v>121.83118000000002</c:v>
                </c:pt>
                <c:pt idx="14">
                  <c:v>189.81754999999995</c:v>
                </c:pt>
                <c:pt idx="15">
                  <c:v>244.89545499999994</c:v>
                </c:pt>
                <c:pt idx="16">
                  <c:v>56.77760700000001</c:v>
                </c:pt>
                <c:pt idx="17">
                  <c:v>72.758876000000001</c:v>
                </c:pt>
                <c:pt idx="18">
                  <c:v>89.504156999999992</c:v>
                </c:pt>
                <c:pt idx="19">
                  <c:v>118.79668700000001</c:v>
                </c:pt>
                <c:pt idx="20">
                  <c:v>222.50566300000006</c:v>
                </c:pt>
                <c:pt idx="21">
                  <c:v>292.52048000000002</c:v>
                </c:pt>
                <c:pt idx="22">
                  <c:v>120.73283999999998</c:v>
                </c:pt>
                <c:pt idx="23">
                  <c:v>171.89863100000002</c:v>
                </c:pt>
              </c:numCache>
            </c:numRef>
          </c:val>
        </c:ser>
        <c:dLbls>
          <c:showLegendKey val="0"/>
          <c:showVal val="0"/>
          <c:showCatName val="0"/>
          <c:showSerName val="0"/>
          <c:showPercent val="0"/>
          <c:showBubbleSize val="0"/>
        </c:dLbls>
        <c:gapWidth val="28"/>
        <c:overlap val="100"/>
        <c:axId val="571943456"/>
        <c:axId val="571943064"/>
        <c:extLst>
          <c:ext xmlns:c15="http://schemas.microsoft.com/office/drawing/2012/chart" uri="{02D57815-91ED-43cb-92C2-25804820EDAC}">
            <c15:filteredBarSeries>
              <c15:ser>
                <c:idx val="3"/>
                <c:order val="3"/>
                <c:tx>
                  <c:strRef>
                    <c:extLst>
                      <c:ext uri="{02D57815-91ED-43cb-92C2-25804820EDAC}">
                        <c15:formulaRef>
                          <c15:sqref>'ABC Graphical'!$X$230</c15:sqref>
                        </c15:formulaRef>
                      </c:ext>
                    </c:extLst>
                    <c:strCache>
                      <c:ptCount val="1"/>
                    </c:strCache>
                  </c:strRef>
                </c:tx>
                <c:spPr>
                  <a:solidFill>
                    <a:schemeClr val="accent4"/>
                  </a:solidFill>
                  <a:ln>
                    <a:noFill/>
                  </a:ln>
                  <a:effectLst/>
                </c:spPr>
                <c:invertIfNegative val="0"/>
                <c:cat>
                  <c:multiLvlStrRef>
                    <c:extLst>
                      <c:ext uri="{02D57815-91ED-43cb-92C2-25804820EDAC}">
                        <c15:formulaRef>
                          <c15:sqref>'ABC Graphical'!$S$231:$T$254</c15:sqref>
                        </c15:formulaRef>
                      </c:ext>
                    </c:extLst>
                    <c:multiLvlStrCache>
                      <c:ptCount val="24"/>
                      <c:lvl>
                        <c:pt idx="0">
                          <c:v>2014</c:v>
                        </c:pt>
                        <c:pt idx="1">
                          <c:v>2018</c:v>
                        </c:pt>
                        <c:pt idx="2">
                          <c:v>2014</c:v>
                        </c:pt>
                        <c:pt idx="3">
                          <c:v>2018</c:v>
                        </c:pt>
                        <c:pt idx="4">
                          <c:v>2014</c:v>
                        </c:pt>
                        <c:pt idx="5">
                          <c:v>2018</c:v>
                        </c:pt>
                        <c:pt idx="6">
                          <c:v>2014</c:v>
                        </c:pt>
                        <c:pt idx="7">
                          <c:v>2018</c:v>
                        </c:pt>
                        <c:pt idx="8">
                          <c:v>2014</c:v>
                        </c:pt>
                        <c:pt idx="9">
                          <c:v>2018</c:v>
                        </c:pt>
                        <c:pt idx="10">
                          <c:v>2014</c:v>
                        </c:pt>
                        <c:pt idx="11">
                          <c:v>2018</c:v>
                        </c:pt>
                        <c:pt idx="12">
                          <c:v>2014</c:v>
                        </c:pt>
                        <c:pt idx="13">
                          <c:v>2018</c:v>
                        </c:pt>
                        <c:pt idx="14">
                          <c:v>2014</c:v>
                        </c:pt>
                        <c:pt idx="15">
                          <c:v>2018</c:v>
                        </c:pt>
                        <c:pt idx="16">
                          <c:v>2014</c:v>
                        </c:pt>
                        <c:pt idx="17">
                          <c:v>2018</c:v>
                        </c:pt>
                        <c:pt idx="18">
                          <c:v>2014</c:v>
                        </c:pt>
                        <c:pt idx="19">
                          <c:v>2018</c:v>
                        </c:pt>
                        <c:pt idx="20">
                          <c:v>2014</c:v>
                        </c:pt>
                        <c:pt idx="21">
                          <c:v>2018</c:v>
                        </c:pt>
                        <c:pt idx="22">
                          <c:v>2014</c:v>
                        </c:pt>
                        <c:pt idx="23">
                          <c:v>2018</c:v>
                        </c:pt>
                      </c:lvl>
                      <c:lvl>
                        <c:pt idx="0">
                          <c:v>Burnley</c:v>
                        </c:pt>
                        <c:pt idx="2">
                          <c:v>Chorley</c:v>
                        </c:pt>
                        <c:pt idx="4">
                          <c:v>Fylde</c:v>
                        </c:pt>
                        <c:pt idx="6">
                          <c:v>Hyndburn</c:v>
                        </c:pt>
                        <c:pt idx="8">
                          <c:v>Lancaster</c:v>
                        </c:pt>
                        <c:pt idx="10">
                          <c:v>Pendle</c:v>
                        </c:pt>
                        <c:pt idx="12">
                          <c:v>Preston</c:v>
                        </c:pt>
                        <c:pt idx="14">
                          <c:v>Ribble Valley</c:v>
                        </c:pt>
                        <c:pt idx="16">
                          <c:v>Rossendale</c:v>
                        </c:pt>
                        <c:pt idx="18">
                          <c:v>South Ribble</c:v>
                        </c:pt>
                        <c:pt idx="20">
                          <c:v>West Lancs</c:v>
                        </c:pt>
                        <c:pt idx="22">
                          <c:v>Wyre</c:v>
                        </c:pt>
                      </c:lvl>
                    </c:multiLvlStrCache>
                  </c:multiLvlStrRef>
                </c:cat>
                <c:val>
                  <c:numRef>
                    <c:extLst>
                      <c:ext uri="{02D57815-91ED-43cb-92C2-25804820EDAC}">
                        <c15:formulaRef>
                          <c15:sqref>'ABC Graphical'!$X$231:$X$254</c15:sqref>
                        </c15:formulaRef>
                      </c:ext>
                    </c:extLst>
                    <c:numCache>
                      <c:formatCode>#,##0.00</c:formatCode>
                      <c:ptCount val="24"/>
                      <c:pt idx="0">
                        <c:v>103.87400000000001</c:v>
                      </c:pt>
                      <c:pt idx="1">
                        <c:v>103.87400000000001</c:v>
                      </c:pt>
                      <c:pt idx="2">
                        <c:v>220.95400000000001</c:v>
                      </c:pt>
                      <c:pt idx="3">
                        <c:v>220.95400000000001</c:v>
                      </c:pt>
                      <c:pt idx="4">
                        <c:v>178.857</c:v>
                      </c:pt>
                      <c:pt idx="5">
                        <c:v>178.857</c:v>
                      </c:pt>
                      <c:pt idx="6">
                        <c:v>81.731999999999999</c:v>
                      </c:pt>
                      <c:pt idx="7">
                        <c:v>81.731999999999999</c:v>
                      </c:pt>
                      <c:pt idx="8">
                        <c:v>412.05200000000002</c:v>
                      </c:pt>
                      <c:pt idx="9">
                        <c:v>412.05200000000002</c:v>
                      </c:pt>
                      <c:pt idx="10">
                        <c:v>127.386</c:v>
                      </c:pt>
                      <c:pt idx="11">
                        <c:v>127.386</c:v>
                      </c:pt>
                      <c:pt idx="12">
                        <c:v>178.91300000000001</c:v>
                      </c:pt>
                      <c:pt idx="13">
                        <c:v>178.91300000000001</c:v>
                      </c:pt>
                      <c:pt idx="14">
                        <c:v>370.03099999999995</c:v>
                      </c:pt>
                      <c:pt idx="15">
                        <c:v>370.03099999999995</c:v>
                      </c:pt>
                      <c:pt idx="16">
                        <c:v>93.364000000000004</c:v>
                      </c:pt>
                      <c:pt idx="17">
                        <c:v>93.364000000000004</c:v>
                      </c:pt>
                      <c:pt idx="18">
                        <c:v>154.65100000000001</c:v>
                      </c:pt>
                      <c:pt idx="19">
                        <c:v>154.65100000000001</c:v>
                      </c:pt>
                      <c:pt idx="20">
                        <c:v>385.07100000000003</c:v>
                      </c:pt>
                      <c:pt idx="21">
                        <c:v>385.07100000000003</c:v>
                      </c:pt>
                      <c:pt idx="22">
                        <c:v>260.536</c:v>
                      </c:pt>
                      <c:pt idx="23" formatCode="0.00">
                        <c:v>260.536</c:v>
                      </c:pt>
                    </c:numCache>
                  </c:numRef>
                </c:val>
              </c15:ser>
            </c15:filteredBarSeries>
          </c:ext>
        </c:extLst>
      </c:barChart>
      <c:catAx>
        <c:axId val="5719434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1943064"/>
        <c:crosses val="autoZero"/>
        <c:auto val="1"/>
        <c:lblAlgn val="ctr"/>
        <c:lblOffset val="100"/>
        <c:noMultiLvlLbl val="0"/>
      </c:catAx>
      <c:valAx>
        <c:axId val="571943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9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Number of Defects</a:t>
            </a:r>
            <a:r>
              <a:rPr lang="en-GB" sz="1200" b="1" baseline="0">
                <a:solidFill>
                  <a:schemeClr val="tx1"/>
                </a:solidFill>
              </a:rPr>
              <a:t> - Rural Unclassified 2014 v 2016</a:t>
            </a:r>
            <a:endParaRPr lang="en-GB" sz="1200" b="1">
              <a:solidFill>
                <a:schemeClr val="tx1"/>
              </a:solidFill>
            </a:endParaRPr>
          </a:p>
        </c:rich>
      </c:tx>
      <c:layout>
        <c:manualLayout>
          <c:xMode val="edge"/>
          <c:yMode val="edge"/>
          <c:x val="0.15825675812926643"/>
          <c:y val="3.45065562456866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9.8150481189851271E-2"/>
          <c:y val="0.12855732623865704"/>
          <c:w val="0.82565616797900265"/>
          <c:h val="0.60117850456406263"/>
        </c:manualLayout>
      </c:layout>
      <c:barChart>
        <c:barDir val="col"/>
        <c:grouping val="clustered"/>
        <c:varyColors val="0"/>
        <c:ser>
          <c:idx val="1"/>
          <c:order val="0"/>
          <c:tx>
            <c:strRef>
              <c:f>'2014 v 2016'!$C$4</c:f>
              <c:strCache>
                <c:ptCount val="1"/>
                <c:pt idx="0">
                  <c:v>2014</c:v>
                </c:pt>
              </c:strCache>
            </c:strRef>
          </c:tx>
          <c:spPr>
            <a:solidFill>
              <a:schemeClr val="accent1">
                <a:lumMod val="60000"/>
                <a:lumOff val="40000"/>
              </a:schemeClr>
            </a:solidFill>
            <a:ln>
              <a:solidFill>
                <a:schemeClr val="tx1"/>
              </a:solidFill>
            </a:ln>
            <a:effectLst/>
          </c:spPr>
          <c:invertIfNegative val="0"/>
          <c:cat>
            <c:strRef>
              <c:f>'2014 v 2016'!$B$5:$B$16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v 2016'!$C$5:$C$16</c:f>
              <c:numCache>
                <c:formatCode>#,##0</c:formatCode>
                <c:ptCount val="12"/>
                <c:pt idx="0">
                  <c:v>185</c:v>
                </c:pt>
                <c:pt idx="1">
                  <c:v>880</c:v>
                </c:pt>
                <c:pt idx="2">
                  <c:v>843</c:v>
                </c:pt>
                <c:pt idx="3">
                  <c:v>176</c:v>
                </c:pt>
                <c:pt idx="4">
                  <c:v>1784</c:v>
                </c:pt>
                <c:pt idx="5">
                  <c:v>523</c:v>
                </c:pt>
                <c:pt idx="6">
                  <c:v>673</c:v>
                </c:pt>
                <c:pt idx="7">
                  <c:v>3039</c:v>
                </c:pt>
                <c:pt idx="8">
                  <c:v>486</c:v>
                </c:pt>
                <c:pt idx="9">
                  <c:v>971</c:v>
                </c:pt>
                <c:pt idx="10">
                  <c:v>1697</c:v>
                </c:pt>
                <c:pt idx="11">
                  <c:v>2180</c:v>
                </c:pt>
              </c:numCache>
            </c:numRef>
          </c:val>
        </c:ser>
        <c:ser>
          <c:idx val="2"/>
          <c:order val="1"/>
          <c:tx>
            <c:strRef>
              <c:f>'2014 v 2016'!$D$4</c:f>
              <c:strCache>
                <c:ptCount val="1"/>
                <c:pt idx="0">
                  <c:v>2016</c:v>
                </c:pt>
              </c:strCache>
            </c:strRef>
          </c:tx>
          <c:spPr>
            <a:solidFill>
              <a:schemeClr val="accent1">
                <a:lumMod val="75000"/>
              </a:schemeClr>
            </a:solidFill>
            <a:ln>
              <a:solidFill>
                <a:sysClr val="windowText" lastClr="000000"/>
              </a:solidFill>
            </a:ln>
            <a:effectLst/>
          </c:spPr>
          <c:invertIfNegative val="0"/>
          <c:cat>
            <c:strRef>
              <c:f>'2014 v 2016'!$B$5:$B$16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v 2016'!$D$5:$D$16</c:f>
              <c:numCache>
                <c:formatCode>#,##0</c:formatCode>
                <c:ptCount val="12"/>
                <c:pt idx="0">
                  <c:v>61</c:v>
                </c:pt>
                <c:pt idx="1">
                  <c:v>498</c:v>
                </c:pt>
                <c:pt idx="2">
                  <c:v>563</c:v>
                </c:pt>
                <c:pt idx="3">
                  <c:v>69</c:v>
                </c:pt>
                <c:pt idx="4">
                  <c:v>650</c:v>
                </c:pt>
                <c:pt idx="5">
                  <c:v>358</c:v>
                </c:pt>
                <c:pt idx="6">
                  <c:v>274</c:v>
                </c:pt>
                <c:pt idx="7">
                  <c:v>1703</c:v>
                </c:pt>
                <c:pt idx="8">
                  <c:v>477</c:v>
                </c:pt>
                <c:pt idx="9">
                  <c:v>409</c:v>
                </c:pt>
                <c:pt idx="10">
                  <c:v>1238</c:v>
                </c:pt>
                <c:pt idx="11">
                  <c:v>861</c:v>
                </c:pt>
              </c:numCache>
            </c:numRef>
          </c:val>
        </c:ser>
        <c:dLbls>
          <c:showLegendKey val="0"/>
          <c:showVal val="0"/>
          <c:showCatName val="0"/>
          <c:showSerName val="0"/>
          <c:showPercent val="0"/>
          <c:showBubbleSize val="0"/>
        </c:dLbls>
        <c:gapWidth val="219"/>
        <c:overlap val="-27"/>
        <c:axId val="571944240"/>
        <c:axId val="571936792"/>
      </c:barChart>
      <c:catAx>
        <c:axId val="5719442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1936792"/>
        <c:crosses val="autoZero"/>
        <c:auto val="1"/>
        <c:lblAlgn val="ctr"/>
        <c:lblOffset val="100"/>
        <c:noMultiLvlLbl val="0"/>
      </c:catAx>
      <c:valAx>
        <c:axId val="571936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1944240"/>
        <c:crosses val="autoZero"/>
        <c:crossBetween val="between"/>
      </c:valAx>
      <c:spPr>
        <a:noFill/>
        <a:ln>
          <a:solidFill>
            <a:schemeClr val="tx1"/>
          </a:solidFill>
        </a:ln>
        <a:effectLst/>
      </c:spPr>
    </c:plotArea>
    <c:legend>
      <c:legendPos val="b"/>
      <c:layout>
        <c:manualLayout>
          <c:xMode val="edge"/>
          <c:yMode val="edge"/>
          <c:x val="0.1069726526363821"/>
          <c:y val="0.14935834385889477"/>
          <c:w val="0.33674662760178231"/>
          <c:h val="7.1676654752626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 Defects on the Rural Unclassified Network</a:t>
            </a:r>
            <a:r>
              <a:rPr lang="en-GB" sz="1200" b="1" baseline="0">
                <a:solidFill>
                  <a:schemeClr val="tx1"/>
                </a:solidFill>
              </a:rPr>
              <a:t> 2016</a:t>
            </a:r>
            <a:endParaRPr lang="en-GB" sz="1200" b="1">
              <a:solidFill>
                <a:schemeClr val="tx1"/>
              </a:solidFill>
            </a:endParaRPr>
          </a:p>
        </c:rich>
      </c:tx>
      <c:layout>
        <c:manualLayout>
          <c:xMode val="edge"/>
          <c:yMode val="edge"/>
          <c:x val="0.17902540184495103"/>
          <c:y val="2.818886539816772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4488983528925686"/>
          <c:y val="0.11404960824769052"/>
          <c:w val="0.81604052925878545"/>
          <c:h val="0.62046421403813379"/>
        </c:manualLayout>
      </c:layout>
      <c:barChart>
        <c:barDir val="col"/>
        <c:grouping val="clustered"/>
        <c:varyColors val="0"/>
        <c:ser>
          <c:idx val="0"/>
          <c:order val="0"/>
          <c:spPr>
            <a:solidFill>
              <a:schemeClr val="accent1"/>
            </a:solidFill>
            <a:ln>
              <a:solidFill>
                <a:schemeClr val="tx1"/>
              </a:solidFill>
            </a:ln>
            <a:effectLst/>
          </c:spPr>
          <c:invertIfNegative val="0"/>
          <c:cat>
            <c:strRef>
              <c:f>'2014 v 2016'!$B$5:$B$16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v 2016'!$E$5:$E$16</c:f>
              <c:numCache>
                <c:formatCode>0.0%</c:formatCode>
                <c:ptCount val="12"/>
                <c:pt idx="0">
                  <c:v>8.5183633570730354E-3</c:v>
                </c:pt>
                <c:pt idx="1">
                  <c:v>6.9543359865940513E-2</c:v>
                </c:pt>
                <c:pt idx="2">
                  <c:v>7.8620304426756035E-2</c:v>
                </c:pt>
                <c:pt idx="3">
                  <c:v>9.6355257645580235E-3</c:v>
                </c:pt>
                <c:pt idx="4">
                  <c:v>9.076944560815528E-2</c:v>
                </c:pt>
                <c:pt idx="5">
                  <c:v>4.9993017734953217E-2</c:v>
                </c:pt>
                <c:pt idx="6">
                  <c:v>3.8262812456360845E-2</c:v>
                </c:pt>
                <c:pt idx="7">
                  <c:v>0.23781594749336685</c:v>
                </c:pt>
                <c:pt idx="8">
                  <c:v>6.6610808546292422E-2</c:v>
                </c:pt>
                <c:pt idx="9">
                  <c:v>5.7114928082670019E-2</c:v>
                </c:pt>
                <c:pt idx="10">
                  <c:v>0.17288088255830192</c:v>
                </c:pt>
                <c:pt idx="11">
                  <c:v>0.12023460410557185</c:v>
                </c:pt>
              </c:numCache>
            </c:numRef>
          </c:val>
        </c:ser>
        <c:dLbls>
          <c:showLegendKey val="0"/>
          <c:showVal val="0"/>
          <c:showCatName val="0"/>
          <c:showSerName val="0"/>
          <c:showPercent val="0"/>
          <c:showBubbleSize val="0"/>
        </c:dLbls>
        <c:gapWidth val="219"/>
        <c:overlap val="-27"/>
        <c:axId val="571942672"/>
        <c:axId val="571942280"/>
      </c:barChart>
      <c:catAx>
        <c:axId val="5719426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1942280"/>
        <c:crosses val="autoZero"/>
        <c:auto val="1"/>
        <c:lblAlgn val="ctr"/>
        <c:lblOffset val="100"/>
        <c:noMultiLvlLbl val="0"/>
      </c:catAx>
      <c:valAx>
        <c:axId val="5719422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194267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50" b="1" i="0" u="none" strike="noStrike" kern="1200" spc="0" baseline="0">
                <a:solidFill>
                  <a:schemeClr val="tx1"/>
                </a:solidFill>
                <a:latin typeface="+mn-lt"/>
                <a:ea typeface="+mn-ea"/>
                <a:cs typeface="+mn-cs"/>
              </a:defRPr>
            </a:pPr>
            <a:r>
              <a:rPr lang="en-GB" sz="1150" b="1">
                <a:solidFill>
                  <a:schemeClr val="tx1"/>
                </a:solidFill>
              </a:rPr>
              <a:t>Number of</a:t>
            </a:r>
            <a:r>
              <a:rPr lang="en-GB" sz="1150" b="1" baseline="0">
                <a:solidFill>
                  <a:schemeClr val="tx1"/>
                </a:solidFill>
              </a:rPr>
              <a:t> </a:t>
            </a:r>
            <a:r>
              <a:rPr lang="en-GB" sz="1150" b="1">
                <a:solidFill>
                  <a:schemeClr val="tx1"/>
                </a:solidFill>
              </a:rPr>
              <a:t>Defects - Residential </a:t>
            </a:r>
            <a:r>
              <a:rPr lang="en-GB" sz="1150" b="1" baseline="0">
                <a:solidFill>
                  <a:schemeClr val="tx1"/>
                </a:solidFill>
              </a:rPr>
              <a:t>Unclassified</a:t>
            </a:r>
          </a:p>
          <a:p>
            <a:pPr>
              <a:defRPr sz="1150" b="1">
                <a:solidFill>
                  <a:schemeClr val="tx1"/>
                </a:solidFill>
              </a:defRPr>
            </a:pPr>
            <a:r>
              <a:rPr lang="en-GB" sz="1150" b="1" baseline="0">
                <a:solidFill>
                  <a:schemeClr val="tx1"/>
                </a:solidFill>
              </a:rPr>
              <a:t> 2014 v 2016</a:t>
            </a:r>
            <a:endParaRPr lang="en-GB" sz="1150" b="1">
              <a:solidFill>
                <a:schemeClr val="tx1"/>
              </a:solidFill>
            </a:endParaRPr>
          </a:p>
        </c:rich>
      </c:tx>
      <c:layout>
        <c:manualLayout>
          <c:xMode val="edge"/>
          <c:yMode val="edge"/>
          <c:x val="0.17390312899247304"/>
          <c:y val="1.4154383147475972E-2"/>
        </c:manualLayout>
      </c:layout>
      <c:overlay val="0"/>
      <c:spPr>
        <a:noFill/>
        <a:ln>
          <a:noFill/>
        </a:ln>
        <a:effectLst/>
      </c:spPr>
      <c:txPr>
        <a:bodyPr rot="0" spcFirstLastPara="1" vertOverflow="ellipsis" vert="horz" wrap="square" anchor="ctr" anchorCtr="1"/>
        <a:lstStyle/>
        <a:p>
          <a:pPr>
            <a:defRPr sz="115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9.8150481189851271E-2"/>
          <c:y val="0.16341118188251949"/>
          <c:w val="0.87129396325459318"/>
          <c:h val="0.51905413488246332"/>
        </c:manualLayout>
      </c:layout>
      <c:barChart>
        <c:barDir val="col"/>
        <c:grouping val="clustered"/>
        <c:varyColors val="0"/>
        <c:ser>
          <c:idx val="0"/>
          <c:order val="0"/>
          <c:tx>
            <c:strRef>
              <c:f>'2014 v 2016'!$J$4</c:f>
              <c:strCache>
                <c:ptCount val="1"/>
                <c:pt idx="0">
                  <c:v>2014</c:v>
                </c:pt>
              </c:strCache>
            </c:strRef>
          </c:tx>
          <c:spPr>
            <a:solidFill>
              <a:schemeClr val="accent1">
                <a:lumMod val="60000"/>
                <a:lumOff val="40000"/>
              </a:schemeClr>
            </a:solidFill>
            <a:ln>
              <a:solidFill>
                <a:schemeClr val="tx1"/>
              </a:solidFill>
            </a:ln>
            <a:effectLst/>
          </c:spPr>
          <c:invertIfNegative val="0"/>
          <c:cat>
            <c:strRef>
              <c:f>'2014 v 2016'!$I$5:$I$16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v 2016'!$J$5:$J$16</c:f>
              <c:numCache>
                <c:formatCode>#,##0</c:formatCode>
                <c:ptCount val="12"/>
                <c:pt idx="0">
                  <c:v>2032</c:v>
                </c:pt>
                <c:pt idx="1">
                  <c:v>1523</c:v>
                </c:pt>
                <c:pt idx="2">
                  <c:v>1786</c:v>
                </c:pt>
                <c:pt idx="3">
                  <c:v>3020</c:v>
                </c:pt>
                <c:pt idx="4">
                  <c:v>2664</c:v>
                </c:pt>
                <c:pt idx="5">
                  <c:v>2295</c:v>
                </c:pt>
                <c:pt idx="6">
                  <c:v>2039</c:v>
                </c:pt>
                <c:pt idx="7">
                  <c:v>1845</c:v>
                </c:pt>
                <c:pt idx="8">
                  <c:v>3275</c:v>
                </c:pt>
                <c:pt idx="9">
                  <c:v>2858</c:v>
                </c:pt>
                <c:pt idx="10">
                  <c:v>2333</c:v>
                </c:pt>
                <c:pt idx="11">
                  <c:v>3375</c:v>
                </c:pt>
              </c:numCache>
            </c:numRef>
          </c:val>
        </c:ser>
        <c:ser>
          <c:idx val="1"/>
          <c:order val="1"/>
          <c:tx>
            <c:strRef>
              <c:f>'2014 v 2016'!$K$4</c:f>
              <c:strCache>
                <c:ptCount val="1"/>
                <c:pt idx="0">
                  <c:v>2016</c:v>
                </c:pt>
              </c:strCache>
            </c:strRef>
          </c:tx>
          <c:spPr>
            <a:solidFill>
              <a:schemeClr val="accent1">
                <a:lumMod val="75000"/>
              </a:schemeClr>
            </a:solidFill>
            <a:ln>
              <a:solidFill>
                <a:schemeClr val="tx1"/>
              </a:solidFill>
            </a:ln>
            <a:effectLst/>
          </c:spPr>
          <c:invertIfNegative val="0"/>
          <c:cat>
            <c:strRef>
              <c:f>'2014 v 2016'!$I$5:$I$16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v 2016'!$K$5:$K$16</c:f>
              <c:numCache>
                <c:formatCode>General</c:formatCode>
                <c:ptCount val="12"/>
                <c:pt idx="0">
                  <c:v>1727</c:v>
                </c:pt>
                <c:pt idx="1">
                  <c:v>1640</c:v>
                </c:pt>
                <c:pt idx="2">
                  <c:v>1844</c:v>
                </c:pt>
                <c:pt idx="3">
                  <c:v>3004</c:v>
                </c:pt>
                <c:pt idx="4">
                  <c:v>2734</c:v>
                </c:pt>
                <c:pt idx="5">
                  <c:v>2084</c:v>
                </c:pt>
                <c:pt idx="6">
                  <c:v>1831</c:v>
                </c:pt>
                <c:pt idx="7">
                  <c:v>1389</c:v>
                </c:pt>
                <c:pt idx="8">
                  <c:v>2291</c:v>
                </c:pt>
                <c:pt idx="9">
                  <c:v>3506</c:v>
                </c:pt>
                <c:pt idx="10">
                  <c:v>2242</c:v>
                </c:pt>
                <c:pt idx="11">
                  <c:v>2579</c:v>
                </c:pt>
              </c:numCache>
            </c:numRef>
          </c:val>
        </c:ser>
        <c:dLbls>
          <c:showLegendKey val="0"/>
          <c:showVal val="0"/>
          <c:showCatName val="0"/>
          <c:showSerName val="0"/>
          <c:showPercent val="0"/>
          <c:showBubbleSize val="0"/>
        </c:dLbls>
        <c:gapWidth val="219"/>
        <c:overlap val="-27"/>
        <c:axId val="571937576"/>
        <c:axId val="571940712"/>
      </c:barChart>
      <c:catAx>
        <c:axId val="57193757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1940712"/>
        <c:crosses val="autoZero"/>
        <c:auto val="1"/>
        <c:lblAlgn val="ctr"/>
        <c:lblOffset val="100"/>
        <c:noMultiLvlLbl val="0"/>
      </c:catAx>
      <c:valAx>
        <c:axId val="571940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1937576"/>
        <c:crosses val="autoZero"/>
        <c:crossBetween val="between"/>
      </c:valAx>
      <c:spPr>
        <a:noFill/>
        <a:ln>
          <a:solidFill>
            <a:schemeClr val="tx1"/>
          </a:solidFill>
        </a:ln>
        <a:effectLst/>
      </c:spPr>
    </c:plotArea>
    <c:legend>
      <c:legendPos val="b"/>
      <c:layout>
        <c:manualLayout>
          <c:xMode val="edge"/>
          <c:yMode val="edge"/>
          <c:x val="0.10346719160104986"/>
          <c:y val="0.18086831502750053"/>
          <c:w val="0.23149390276832679"/>
          <c:h val="0.115741550824665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t>% of Defects on the Residential Unclass Network</a:t>
            </a:r>
            <a:r>
              <a:rPr lang="en-GB" sz="1200" b="1" baseline="0"/>
              <a:t> </a:t>
            </a:r>
            <a:r>
              <a:rPr lang="en-GB" sz="1200" b="1"/>
              <a:t>2016 </a:t>
            </a:r>
          </a:p>
        </c:rich>
      </c:tx>
      <c:layout>
        <c:manualLayout>
          <c:xMode val="edge"/>
          <c:yMode val="edge"/>
          <c:x val="0.16319444444444445"/>
          <c:y val="2.777777777777777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0065048118985127"/>
          <c:y val="0.13140063841226199"/>
          <c:w val="0.83853540958386896"/>
          <c:h val="0.53190475977313523"/>
        </c:manualLayout>
      </c:layout>
      <c:barChart>
        <c:barDir val="col"/>
        <c:grouping val="clustered"/>
        <c:varyColors val="0"/>
        <c:ser>
          <c:idx val="0"/>
          <c:order val="0"/>
          <c:spPr>
            <a:solidFill>
              <a:schemeClr val="accent1"/>
            </a:solidFill>
            <a:ln>
              <a:solidFill>
                <a:schemeClr val="tx1"/>
              </a:solidFill>
            </a:ln>
            <a:effectLst/>
          </c:spPr>
          <c:invertIfNegative val="0"/>
          <c:cat>
            <c:strRef>
              <c:f>'2014 v 2016'!$I$5:$I$16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v 2016'!$L$5:$L$16</c:f>
              <c:numCache>
                <c:formatCode>0.0%</c:formatCode>
                <c:ptCount val="12"/>
                <c:pt idx="0">
                  <c:v>6.4270030888318258E-2</c:v>
                </c:pt>
                <c:pt idx="1">
                  <c:v>6.103233969707119E-2</c:v>
                </c:pt>
                <c:pt idx="2">
                  <c:v>6.8624167317926393E-2</c:v>
                </c:pt>
                <c:pt idx="3">
                  <c:v>0.11179338320122065</c:v>
                </c:pt>
                <c:pt idx="4">
                  <c:v>0.10174537605597112</c:v>
                </c:pt>
                <c:pt idx="5">
                  <c:v>7.7555729224814851E-2</c:v>
                </c:pt>
                <c:pt idx="6">
                  <c:v>6.814037438130327E-2</c:v>
                </c:pt>
                <c:pt idx="7">
                  <c:v>5.1691414536117003E-2</c:v>
                </c:pt>
                <c:pt idx="8">
                  <c:v>8.5259201369506155E-2</c:v>
                </c:pt>
                <c:pt idx="9">
                  <c:v>0.13047523352312904</c:v>
                </c:pt>
                <c:pt idx="10">
                  <c:v>8.343567414684977E-2</c:v>
                </c:pt>
                <c:pt idx="11">
                  <c:v>9.5977075657772318E-2</c:v>
                </c:pt>
              </c:numCache>
            </c:numRef>
          </c:val>
        </c:ser>
        <c:dLbls>
          <c:showLegendKey val="0"/>
          <c:showVal val="0"/>
          <c:showCatName val="0"/>
          <c:showSerName val="0"/>
          <c:showPercent val="0"/>
          <c:showBubbleSize val="0"/>
        </c:dLbls>
        <c:gapWidth val="219"/>
        <c:overlap val="-27"/>
        <c:axId val="564040048"/>
        <c:axId val="564039656"/>
      </c:barChart>
      <c:catAx>
        <c:axId val="5640400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4039656"/>
        <c:crosses val="autoZero"/>
        <c:auto val="1"/>
        <c:lblAlgn val="ctr"/>
        <c:lblOffset val="100"/>
        <c:noMultiLvlLbl val="0"/>
      </c:catAx>
      <c:valAx>
        <c:axId val="564039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4040048"/>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solidFill>
                  <a:schemeClr val="tx1"/>
                </a:solidFill>
              </a:rPr>
              <a:t>Number of defects - Footways 2014 to 2017 </a:t>
            </a:r>
          </a:p>
        </c:rich>
      </c:tx>
      <c:layout>
        <c:manualLayout>
          <c:xMode val="edge"/>
          <c:yMode val="edge"/>
          <c:x val="0.25894309507607843"/>
          <c:y val="2.057613168724279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8150481189851271E-2"/>
          <c:y val="0.13728708294179279"/>
          <c:w val="0.87129396325459318"/>
          <c:h val="0.62668452157765997"/>
        </c:manualLayout>
      </c:layout>
      <c:barChart>
        <c:barDir val="col"/>
        <c:grouping val="clustered"/>
        <c:varyColors val="0"/>
        <c:ser>
          <c:idx val="0"/>
          <c:order val="0"/>
          <c:tx>
            <c:strRef>
              <c:f>'2014 to 2017'!$Q$4</c:f>
              <c:strCache>
                <c:ptCount val="1"/>
                <c:pt idx="0">
                  <c:v>2014</c:v>
                </c:pt>
              </c:strCache>
            </c:strRef>
          </c:tx>
          <c:spPr>
            <a:solidFill>
              <a:schemeClr val="accent1">
                <a:lumMod val="60000"/>
                <a:lumOff val="40000"/>
              </a:schemeClr>
            </a:solidFill>
            <a:ln>
              <a:solidFill>
                <a:schemeClr val="tx1"/>
              </a:solidFill>
            </a:ln>
            <a:effectLst/>
          </c:spPr>
          <c:invertIfNegative val="0"/>
          <c:cat>
            <c:strRef>
              <c:f>'2014 to 2017'!$P$5:$P$16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to 2017'!$Q$5:$Q$16</c:f>
              <c:numCache>
                <c:formatCode>#,##0</c:formatCode>
                <c:ptCount val="12"/>
                <c:pt idx="0">
                  <c:v>1977</c:v>
                </c:pt>
                <c:pt idx="1">
                  <c:v>1014</c:v>
                </c:pt>
                <c:pt idx="2">
                  <c:v>626</c:v>
                </c:pt>
                <c:pt idx="3">
                  <c:v>1481</c:v>
                </c:pt>
                <c:pt idx="4">
                  <c:v>3462</c:v>
                </c:pt>
                <c:pt idx="5">
                  <c:v>1309</c:v>
                </c:pt>
                <c:pt idx="6">
                  <c:v>2363</c:v>
                </c:pt>
                <c:pt idx="7">
                  <c:v>672</c:v>
                </c:pt>
                <c:pt idx="8">
                  <c:v>1791</c:v>
                </c:pt>
                <c:pt idx="9">
                  <c:v>860</c:v>
                </c:pt>
                <c:pt idx="10">
                  <c:v>1415</c:v>
                </c:pt>
                <c:pt idx="11">
                  <c:v>3187</c:v>
                </c:pt>
              </c:numCache>
            </c:numRef>
          </c:val>
        </c:ser>
        <c:ser>
          <c:idx val="1"/>
          <c:order val="1"/>
          <c:tx>
            <c:strRef>
              <c:f>'2014 to 2017'!$R$4</c:f>
              <c:strCache>
                <c:ptCount val="1"/>
                <c:pt idx="0">
                  <c:v>2015</c:v>
                </c:pt>
              </c:strCache>
            </c:strRef>
          </c:tx>
          <c:spPr>
            <a:solidFill>
              <a:schemeClr val="accent1">
                <a:lumMod val="75000"/>
              </a:schemeClr>
            </a:solidFill>
            <a:ln>
              <a:solidFill>
                <a:schemeClr val="tx1"/>
              </a:solidFill>
            </a:ln>
            <a:effectLst/>
          </c:spPr>
          <c:invertIfNegative val="0"/>
          <c:cat>
            <c:strRef>
              <c:f>'2014 to 2017'!$P$5:$P$16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to 2017'!$R$5:$R$16</c:f>
              <c:numCache>
                <c:formatCode>#,##0</c:formatCode>
                <c:ptCount val="12"/>
                <c:pt idx="0">
                  <c:v>925</c:v>
                </c:pt>
                <c:pt idx="1">
                  <c:v>732</c:v>
                </c:pt>
                <c:pt idx="2">
                  <c:v>646</c:v>
                </c:pt>
                <c:pt idx="3">
                  <c:v>1719</c:v>
                </c:pt>
                <c:pt idx="4">
                  <c:v>1166</c:v>
                </c:pt>
                <c:pt idx="5">
                  <c:v>396</c:v>
                </c:pt>
                <c:pt idx="6">
                  <c:v>1714</c:v>
                </c:pt>
                <c:pt idx="7">
                  <c:v>336</c:v>
                </c:pt>
                <c:pt idx="8">
                  <c:v>578</c:v>
                </c:pt>
                <c:pt idx="9">
                  <c:v>1149</c:v>
                </c:pt>
                <c:pt idx="10">
                  <c:v>776</c:v>
                </c:pt>
                <c:pt idx="11">
                  <c:v>1381</c:v>
                </c:pt>
              </c:numCache>
            </c:numRef>
          </c:val>
        </c:ser>
        <c:ser>
          <c:idx val="2"/>
          <c:order val="2"/>
          <c:tx>
            <c:strRef>
              <c:f>'2014 to 2017'!$S$4</c:f>
              <c:strCache>
                <c:ptCount val="1"/>
                <c:pt idx="0">
                  <c:v>2016</c:v>
                </c:pt>
              </c:strCache>
            </c:strRef>
          </c:tx>
          <c:spPr>
            <a:solidFill>
              <a:schemeClr val="accent3"/>
            </a:solidFill>
            <a:ln>
              <a:solidFill>
                <a:schemeClr val="tx1"/>
              </a:solidFill>
            </a:ln>
            <a:effectLst/>
          </c:spPr>
          <c:invertIfNegative val="0"/>
          <c:cat>
            <c:strRef>
              <c:f>'2014 to 2017'!$P$5:$P$16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to 2017'!$S$5:$S$16</c:f>
              <c:numCache>
                <c:formatCode>General</c:formatCode>
                <c:ptCount val="12"/>
                <c:pt idx="0">
                  <c:v>1000</c:v>
                </c:pt>
                <c:pt idx="1">
                  <c:v>572</c:v>
                </c:pt>
                <c:pt idx="2">
                  <c:v>987</c:v>
                </c:pt>
                <c:pt idx="3">
                  <c:v>1501</c:v>
                </c:pt>
                <c:pt idx="4">
                  <c:v>1701</c:v>
                </c:pt>
                <c:pt idx="5">
                  <c:v>456</c:v>
                </c:pt>
                <c:pt idx="6">
                  <c:v>1924</c:v>
                </c:pt>
                <c:pt idx="7">
                  <c:v>304</c:v>
                </c:pt>
                <c:pt idx="8">
                  <c:v>444</c:v>
                </c:pt>
                <c:pt idx="9">
                  <c:v>1520</c:v>
                </c:pt>
                <c:pt idx="10">
                  <c:v>1217</c:v>
                </c:pt>
                <c:pt idx="11">
                  <c:v>1633</c:v>
                </c:pt>
              </c:numCache>
            </c:numRef>
          </c:val>
        </c:ser>
        <c:ser>
          <c:idx val="3"/>
          <c:order val="3"/>
          <c:tx>
            <c:strRef>
              <c:f>'2014 to 2017'!$T$4</c:f>
              <c:strCache>
                <c:ptCount val="1"/>
                <c:pt idx="0">
                  <c:v>2017</c:v>
                </c:pt>
              </c:strCache>
            </c:strRef>
          </c:tx>
          <c:spPr>
            <a:solidFill>
              <a:schemeClr val="accent1">
                <a:lumMod val="40000"/>
                <a:lumOff val="60000"/>
              </a:schemeClr>
            </a:solidFill>
            <a:ln>
              <a:solidFill>
                <a:schemeClr val="tx1"/>
              </a:solidFill>
            </a:ln>
            <a:effectLst/>
          </c:spPr>
          <c:invertIfNegative val="0"/>
          <c:val>
            <c:numRef>
              <c:f>'2014 to 2017'!$T$5:$T$16</c:f>
              <c:numCache>
                <c:formatCode>General</c:formatCode>
                <c:ptCount val="12"/>
                <c:pt idx="0">
                  <c:v>377</c:v>
                </c:pt>
                <c:pt idx="1">
                  <c:v>393</c:v>
                </c:pt>
                <c:pt idx="2">
                  <c:v>426</c:v>
                </c:pt>
                <c:pt idx="3">
                  <c:v>659</c:v>
                </c:pt>
                <c:pt idx="4">
                  <c:v>1081</c:v>
                </c:pt>
                <c:pt idx="5">
                  <c:v>177</c:v>
                </c:pt>
                <c:pt idx="6">
                  <c:v>1234</c:v>
                </c:pt>
                <c:pt idx="7">
                  <c:v>275</c:v>
                </c:pt>
                <c:pt idx="8">
                  <c:v>196</c:v>
                </c:pt>
                <c:pt idx="9">
                  <c:v>314</c:v>
                </c:pt>
                <c:pt idx="10">
                  <c:v>632</c:v>
                </c:pt>
                <c:pt idx="11">
                  <c:v>1378</c:v>
                </c:pt>
              </c:numCache>
            </c:numRef>
          </c:val>
        </c:ser>
        <c:dLbls>
          <c:showLegendKey val="0"/>
          <c:showVal val="0"/>
          <c:showCatName val="0"/>
          <c:showSerName val="0"/>
          <c:showPercent val="0"/>
          <c:showBubbleSize val="0"/>
        </c:dLbls>
        <c:gapWidth val="219"/>
        <c:overlap val="-27"/>
        <c:axId val="564041224"/>
        <c:axId val="564040832"/>
      </c:barChart>
      <c:catAx>
        <c:axId val="5640412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4040832"/>
        <c:crosses val="autoZero"/>
        <c:auto val="1"/>
        <c:lblAlgn val="ctr"/>
        <c:lblOffset val="100"/>
        <c:noMultiLvlLbl val="0"/>
      </c:catAx>
      <c:valAx>
        <c:axId val="564040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4041224"/>
        <c:crosses val="autoZero"/>
        <c:crossBetween val="between"/>
      </c:valAx>
      <c:spPr>
        <a:noFill/>
        <a:ln>
          <a:solidFill>
            <a:schemeClr val="tx1"/>
          </a:solidFill>
        </a:ln>
        <a:effectLst/>
      </c:spPr>
    </c:plotArea>
    <c:legend>
      <c:legendPos val="b"/>
      <c:layout>
        <c:manualLayout>
          <c:xMode val="edge"/>
          <c:yMode val="edge"/>
          <c:x val="0.47143328433298892"/>
          <c:y val="0.15555879589125435"/>
          <c:w val="0.40898916338880847"/>
          <c:h val="0.114874868007053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baseline="0">
                <a:solidFill>
                  <a:schemeClr val="tx1"/>
                </a:solidFill>
                <a:effectLst/>
              </a:rPr>
              <a:t>% of Defects on Footway Network 2016-17 by District</a:t>
            </a:r>
            <a:endParaRPr lang="en-GB" sz="1100">
              <a:solidFill>
                <a:schemeClr val="tx1"/>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67666229221347"/>
          <c:y val="0.13004629629629633"/>
          <c:w val="0.80184951881014888"/>
          <c:h val="0.60535287255759684"/>
        </c:manualLayout>
      </c:layout>
      <c:barChart>
        <c:barDir val="col"/>
        <c:grouping val="clustered"/>
        <c:varyColors val="0"/>
        <c:ser>
          <c:idx val="4"/>
          <c:order val="0"/>
          <c:tx>
            <c:strRef>
              <c:f>'2014 to 2017'!$U$4</c:f>
              <c:strCache>
                <c:ptCount val="1"/>
                <c:pt idx="0">
                  <c:v>%</c:v>
                </c:pt>
              </c:strCache>
            </c:strRef>
          </c:tx>
          <c:spPr>
            <a:solidFill>
              <a:schemeClr val="accent5"/>
            </a:solidFill>
            <a:ln>
              <a:solidFill>
                <a:schemeClr val="tx1"/>
              </a:solidFill>
            </a:ln>
            <a:effectLst/>
          </c:spPr>
          <c:invertIfNegative val="0"/>
          <c:cat>
            <c:strRef>
              <c:f>'2014 to 2017'!$P$5:$P$16</c:f>
              <c:strCache>
                <c:ptCount val="12"/>
                <c:pt idx="0">
                  <c:v>Burnley</c:v>
                </c:pt>
                <c:pt idx="1">
                  <c:v>Chorley</c:v>
                </c:pt>
                <c:pt idx="2">
                  <c:v>Fylde</c:v>
                </c:pt>
                <c:pt idx="3">
                  <c:v>Hyndburn</c:v>
                </c:pt>
                <c:pt idx="4">
                  <c:v>Lancaster</c:v>
                </c:pt>
                <c:pt idx="5">
                  <c:v>Pendle</c:v>
                </c:pt>
                <c:pt idx="6">
                  <c:v>Preston</c:v>
                </c:pt>
                <c:pt idx="7">
                  <c:v>Ribble Valley</c:v>
                </c:pt>
                <c:pt idx="8">
                  <c:v>Rossendale</c:v>
                </c:pt>
                <c:pt idx="9">
                  <c:v>South Ribble</c:v>
                </c:pt>
                <c:pt idx="10">
                  <c:v>West Lancs</c:v>
                </c:pt>
                <c:pt idx="11">
                  <c:v>Wyre</c:v>
                </c:pt>
              </c:strCache>
            </c:strRef>
          </c:cat>
          <c:val>
            <c:numRef>
              <c:f>'2014 to 2017'!$U$5:$U$16</c:f>
              <c:numCache>
                <c:formatCode>0.00%</c:formatCode>
                <c:ptCount val="12"/>
                <c:pt idx="0">
                  <c:v>5.2786334360123213E-2</c:v>
                </c:pt>
                <c:pt idx="1">
                  <c:v>5.5026603192383089E-2</c:v>
                </c:pt>
                <c:pt idx="2">
                  <c:v>5.9647157658919071E-2</c:v>
                </c:pt>
                <c:pt idx="3">
                  <c:v>9.2271072528703438E-2</c:v>
                </c:pt>
                <c:pt idx="4">
                  <c:v>0.15135816297955754</c:v>
                </c:pt>
                <c:pt idx="5">
                  <c:v>2.4782973956874826E-2</c:v>
                </c:pt>
                <c:pt idx="6">
                  <c:v>0.17278073368804256</c:v>
                </c:pt>
                <c:pt idx="7">
                  <c:v>3.8504620554466538E-2</c:v>
                </c:pt>
                <c:pt idx="8">
                  <c:v>2.7443293195183422E-2</c:v>
                </c:pt>
                <c:pt idx="9">
                  <c:v>4.3965275833099969E-2</c:v>
                </c:pt>
                <c:pt idx="10">
                  <c:v>8.8490618874264917E-2</c:v>
                </c:pt>
                <c:pt idx="11">
                  <c:v>0.1929431531783814</c:v>
                </c:pt>
              </c:numCache>
            </c:numRef>
          </c:val>
        </c:ser>
        <c:dLbls>
          <c:showLegendKey val="0"/>
          <c:showVal val="0"/>
          <c:showCatName val="0"/>
          <c:showSerName val="0"/>
          <c:showPercent val="0"/>
          <c:showBubbleSize val="0"/>
        </c:dLbls>
        <c:gapWidth val="196"/>
        <c:overlap val="-78"/>
        <c:axId val="564040440"/>
        <c:axId val="569054472"/>
      </c:barChart>
      <c:catAx>
        <c:axId val="5640404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9054472"/>
        <c:crosses val="autoZero"/>
        <c:auto val="1"/>
        <c:lblAlgn val="ctr"/>
        <c:lblOffset val="100"/>
        <c:noMultiLvlLbl val="0"/>
      </c:catAx>
      <c:valAx>
        <c:axId val="569054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4040440"/>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0.54858</cdr:x>
      <cdr:y>0.10155</cdr:y>
    </cdr:from>
    <cdr:to>
      <cdr:x>0.55268</cdr:x>
      <cdr:y>0.92316</cdr:y>
    </cdr:to>
    <cdr:cxnSp macro="">
      <cdr:nvCxnSpPr>
        <cdr:cNvPr id="3" name="Straight Connector 2"/>
        <cdr:cNvCxnSpPr/>
      </cdr:nvCxnSpPr>
      <cdr:spPr>
        <a:xfrm xmlns:a="http://schemas.openxmlformats.org/drawingml/2006/main">
          <a:off x="5099780" y="616445"/>
          <a:ext cx="38115" cy="4987666"/>
        </a:xfrm>
        <a:prstGeom xmlns:a="http://schemas.openxmlformats.org/drawingml/2006/main" prst="line">
          <a:avLst/>
        </a:prstGeom>
        <a:ln xmlns:a="http://schemas.openxmlformats.org/drawingml/2006/main" w="44450" cmpd="dbl"/>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0.07383</cdr:x>
      <cdr:y>0.13819</cdr:y>
    </cdr:from>
    <cdr:to>
      <cdr:x>0.53484</cdr:x>
      <cdr:y>0.18593</cdr:y>
    </cdr:to>
    <cdr:sp macro="" textlink="">
      <cdr:nvSpPr>
        <cdr:cNvPr id="7" name="TextBox 6"/>
        <cdr:cNvSpPr txBox="1"/>
      </cdr:nvSpPr>
      <cdr:spPr>
        <a:xfrm xmlns:a="http://schemas.openxmlformats.org/drawingml/2006/main">
          <a:off x="686353" y="838896"/>
          <a:ext cx="4285697" cy="289811"/>
        </a:xfrm>
        <a:prstGeom xmlns:a="http://schemas.openxmlformats.org/drawingml/2006/main" prst="rect">
          <a:avLst/>
        </a:prstGeom>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en-GB" sz="1100" b="1"/>
            <a:t>Pre - TAMP Road Conditions</a:t>
          </a:r>
        </a:p>
      </cdr:txBody>
    </cdr:sp>
  </cdr:relSizeAnchor>
  <cdr:relSizeAnchor xmlns:cdr="http://schemas.openxmlformats.org/drawingml/2006/chartDrawing">
    <cdr:from>
      <cdr:x>0.56831</cdr:x>
      <cdr:y>0.13693</cdr:y>
    </cdr:from>
    <cdr:to>
      <cdr:x>0.93842</cdr:x>
      <cdr:y>0.18442</cdr:y>
    </cdr:to>
    <cdr:sp macro="" textlink="">
      <cdr:nvSpPr>
        <cdr:cNvPr id="9" name="TextBox 1"/>
        <cdr:cNvSpPr txBox="1"/>
      </cdr:nvSpPr>
      <cdr:spPr>
        <a:xfrm xmlns:a="http://schemas.openxmlformats.org/drawingml/2006/main" flipH="1">
          <a:off x="5283200" y="831247"/>
          <a:ext cx="3440728" cy="288293"/>
        </a:xfrm>
        <a:prstGeom xmlns:a="http://schemas.openxmlformats.org/drawingml/2006/main" prst="rect">
          <a:avLst/>
        </a:prstGeom>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GB" sz="1100" b="1"/>
            <a:t>Post - TAMP Road Conditions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1614-3A99-4C1A-B5B1-8E155EE3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7594</Words>
  <Characters>43292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pmayes001</dc:creator>
  <cp:lastModifiedBy>Postlethwaite, Keith</cp:lastModifiedBy>
  <cp:revision>4</cp:revision>
  <cp:lastPrinted>2019-03-20T15:00:00Z</cp:lastPrinted>
  <dcterms:created xsi:type="dcterms:W3CDTF">2019-02-11T10:33:00Z</dcterms:created>
  <dcterms:modified xsi:type="dcterms:W3CDTF">2019-03-20T15:06:00Z</dcterms:modified>
</cp:coreProperties>
</file>